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黑体" w:hAnsi="黑体" w:eastAsia="黑体"/>
          <w:sz w:val="52"/>
          <w:szCs w:val="52"/>
        </w:rPr>
      </w:pPr>
    </w:p>
    <w:p>
      <w:pPr>
        <w:ind w:firstLine="1040"/>
        <w:jc w:val="center"/>
        <w:rPr>
          <w:rFonts w:ascii="黑体" w:hAnsi="黑体" w:eastAsia="黑体"/>
          <w:sz w:val="52"/>
          <w:szCs w:val="52"/>
        </w:rPr>
      </w:pPr>
    </w:p>
    <w:p>
      <w:pPr>
        <w:ind w:firstLine="1040"/>
        <w:jc w:val="center"/>
        <w:rPr>
          <w:rFonts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鹏飞电子招标投标交易平台</w:t>
      </w:r>
    </w:p>
    <w:p>
      <w:pPr>
        <w:ind w:firstLine="1040"/>
        <w:jc w:val="center"/>
        <w:rPr>
          <w:rFonts w:ascii="黑体" w:hAnsi="黑体" w:eastAsia="黑体"/>
          <w:sz w:val="52"/>
          <w:szCs w:val="52"/>
        </w:rPr>
      </w:pPr>
    </w:p>
    <w:p>
      <w:pPr>
        <w:ind w:firstLine="1040"/>
        <w:jc w:val="center"/>
        <w:rPr>
          <w:rFonts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投标人操作手册</w:t>
      </w:r>
    </w:p>
    <w:p>
      <w:pPr>
        <w:pStyle w:val="19"/>
        <w:ind w:firstLine="640"/>
      </w:pPr>
    </w:p>
    <w:p>
      <w:pPr>
        <w:pStyle w:val="19"/>
        <w:ind w:firstLine="640"/>
        <w:rPr>
          <w:sz w:val="21"/>
          <w:szCs w:val="21"/>
        </w:rPr>
      </w:pPr>
    </w:p>
    <w:p>
      <w:pPr>
        <w:ind w:firstLine="420"/>
        <w:rPr>
          <w:color w:val="FF0000"/>
        </w:rPr>
      </w:pPr>
      <w:r>
        <w:rPr>
          <w:rFonts w:hint="eastAsia"/>
          <w:color w:val="FF0000"/>
          <w:szCs w:val="21"/>
        </w:rPr>
        <w:t>请先通过官网下载中心进行下载</w:t>
      </w:r>
      <w:r>
        <w:rPr>
          <w:rFonts w:hint="eastAsia"/>
          <w:color w:val="FF0000"/>
        </w:rPr>
        <w:t>山西CA密钥管家鹏飞专用版本、鹏飞集团CA助手和鹏飞投标文件制作工具，下载完成后请先打开山西CA密钥管家鹏飞专用版本进行环境检测，如有问题请进行修复，若修复不成功请联系软件右下方客服热线。另外，请在制作投标文件、投标及开标过程中，请确保打开山西CA密钥管家鹏飞专用版本和鹏飞集团CA助手，鹏飞集团CA助手打开后没有提示，会在电脑屏幕右下方展示图标。</w:t>
      </w:r>
    </w:p>
    <w:p>
      <w:pPr>
        <w:pStyle w:val="19"/>
        <w:ind w:firstLine="640"/>
        <w:rPr>
          <w:sz w:val="21"/>
          <w:szCs w:val="21"/>
        </w:rPr>
      </w:pPr>
    </w:p>
    <w:p>
      <w:pPr>
        <w:pStyle w:val="19"/>
        <w:ind w:firstLine="640"/>
      </w:pPr>
    </w:p>
    <w:p>
      <w:pPr>
        <w:pStyle w:val="19"/>
        <w:ind w:firstLine="640"/>
      </w:pPr>
    </w:p>
    <w:p>
      <w:pPr>
        <w:pStyle w:val="19"/>
        <w:ind w:firstLine="640"/>
      </w:pPr>
    </w:p>
    <w:p>
      <w:pPr>
        <w:pStyle w:val="19"/>
        <w:ind w:firstLine="640"/>
      </w:pPr>
    </w:p>
    <w:p>
      <w:pPr>
        <w:pStyle w:val="19"/>
        <w:ind w:firstLine="640"/>
      </w:pPr>
      <w:r>
        <w:t>目录</w:t>
      </w:r>
    </w:p>
    <w:p>
      <w:pPr>
        <w:pStyle w:val="12"/>
        <w:tabs>
          <w:tab w:val="right" w:leader="dot" w:pos="9747"/>
        </w:tabs>
      </w:pPr>
      <w:bookmarkStart w:id="18" w:name="_GoBack"/>
      <w:bookmarkEnd w:id="18"/>
      <w:r>
        <w:fldChar w:fldCharType="begin"/>
      </w:r>
      <w:r>
        <w:instrText xml:space="preserve"> TOC \o "1-3" \h \z \u </w:instrText>
      </w:r>
      <w:r>
        <w:fldChar w:fldCharType="separate"/>
      </w:r>
      <w:r>
        <w:fldChar w:fldCharType="begin"/>
      </w:r>
      <w:r>
        <w:instrText xml:space="preserve"> HYPERLINK \l _Toc28824 </w:instrText>
      </w:r>
      <w:r>
        <w:fldChar w:fldCharType="separate"/>
      </w:r>
      <w:r>
        <w:t>一、 登录账号进入系统</w:t>
      </w:r>
      <w:r>
        <w:tab/>
      </w:r>
      <w:r>
        <w:fldChar w:fldCharType="begin"/>
      </w:r>
      <w:r>
        <w:instrText xml:space="preserve"> PAGEREF _Toc28824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_Toc8907 </w:instrText>
      </w:r>
      <w:r>
        <w:fldChar w:fldCharType="separate"/>
      </w:r>
      <w:r>
        <w:t>二、 投标报名</w:t>
      </w:r>
      <w:r>
        <w:tab/>
      </w:r>
      <w:r>
        <w:fldChar w:fldCharType="begin"/>
      </w:r>
      <w:r>
        <w:instrText xml:space="preserve"> PAGEREF _Toc8907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_Toc32443 </w:instrText>
      </w:r>
      <w:r>
        <w:fldChar w:fldCharType="separate"/>
      </w:r>
      <w:r>
        <w:t>三、 可接受的邀请</w:t>
      </w:r>
      <w:r>
        <w:tab/>
      </w:r>
      <w:r>
        <w:fldChar w:fldCharType="begin"/>
      </w:r>
      <w:r>
        <w:instrText xml:space="preserve"> PAGEREF _Toc32443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_Toc9795 </w:instrText>
      </w:r>
      <w:r>
        <w:fldChar w:fldCharType="separate"/>
      </w:r>
      <w:r>
        <w:t>四、 招标文件缴费</w:t>
      </w:r>
      <w:r>
        <w:tab/>
      </w:r>
      <w:r>
        <w:fldChar w:fldCharType="begin"/>
      </w:r>
      <w:r>
        <w:instrText xml:space="preserve"> PAGEREF _Toc9795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_Toc1235 </w:instrText>
      </w:r>
      <w:r>
        <w:fldChar w:fldCharType="separate"/>
      </w:r>
      <w:r>
        <w:t>五、 招标文件下载</w:t>
      </w:r>
      <w:r>
        <w:tab/>
      </w:r>
      <w:r>
        <w:fldChar w:fldCharType="begin"/>
      </w:r>
      <w:r>
        <w:instrText xml:space="preserve"> PAGEREF _Toc1235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_Toc5148 </w:instrText>
      </w:r>
      <w:r>
        <w:fldChar w:fldCharType="separate"/>
      </w:r>
      <w:r>
        <w:t>六、 澄清文件下载</w:t>
      </w:r>
      <w:r>
        <w:tab/>
      </w:r>
      <w:r>
        <w:fldChar w:fldCharType="begin"/>
      </w:r>
      <w:r>
        <w:instrText xml:space="preserve"> PAGEREF _Toc5148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_Toc9735 </w:instrText>
      </w:r>
      <w:r>
        <w:fldChar w:fldCharType="separate"/>
      </w:r>
      <w:r>
        <w:t>七、 招标文件质疑</w:t>
      </w:r>
      <w:r>
        <w:tab/>
      </w:r>
      <w:r>
        <w:fldChar w:fldCharType="begin"/>
      </w:r>
      <w:r>
        <w:instrText xml:space="preserve"> PAGEREF _Toc9735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_Toc12003 </w:instrText>
      </w:r>
      <w:r>
        <w:fldChar w:fldCharType="separate"/>
      </w:r>
      <w:r>
        <w:t>八、 缴纳保证金</w:t>
      </w:r>
      <w:r>
        <w:tab/>
      </w:r>
      <w:r>
        <w:fldChar w:fldCharType="begin"/>
      </w:r>
      <w:r>
        <w:instrText xml:space="preserve"> PAGEREF _Toc12003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_Toc7851 </w:instrText>
      </w:r>
      <w:r>
        <w:fldChar w:fldCharType="separate"/>
      </w:r>
      <w:r>
        <w:t>九、 投标文件制作及上传</w:t>
      </w:r>
      <w:r>
        <w:tab/>
      </w:r>
      <w:r>
        <w:fldChar w:fldCharType="begin"/>
      </w:r>
      <w:r>
        <w:instrText xml:space="preserve"> PAGEREF _Toc7851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_Toc7598 </w:instrText>
      </w:r>
      <w:r>
        <w:fldChar w:fldCharType="separate"/>
      </w:r>
      <w:r>
        <w:t xml:space="preserve">十、 </w:t>
      </w:r>
      <w:r>
        <w:rPr>
          <w:rFonts w:hint="eastAsia"/>
        </w:rPr>
        <w:t>单信封开标</w:t>
      </w:r>
      <w:r>
        <w:tab/>
      </w:r>
      <w:r>
        <w:fldChar w:fldCharType="begin"/>
      </w:r>
      <w:r>
        <w:instrText xml:space="preserve"> PAGEREF _Toc7598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_Toc11589 </w:instrText>
      </w:r>
      <w:r>
        <w:fldChar w:fldCharType="separate"/>
      </w:r>
      <w:r>
        <w:t xml:space="preserve">十一、 </w:t>
      </w:r>
      <w:r>
        <w:rPr>
          <w:rFonts w:hint="eastAsia"/>
        </w:rPr>
        <w:t>双信封开标</w:t>
      </w:r>
      <w:r>
        <w:tab/>
      </w:r>
      <w:r>
        <w:fldChar w:fldCharType="begin"/>
      </w:r>
      <w:r>
        <w:instrText xml:space="preserve"> PAGEREF _Toc11589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9747"/>
        </w:tabs>
      </w:pPr>
      <w:r>
        <w:fldChar w:fldCharType="begin"/>
      </w:r>
      <w:r>
        <w:instrText xml:space="preserve"> HYPERLINK \l _Toc12683 </w:instrText>
      </w:r>
      <w:r>
        <w:fldChar w:fldCharType="separate"/>
      </w:r>
      <w:r>
        <w:t>(一) 技术开标</w:t>
      </w:r>
      <w:r>
        <w:tab/>
      </w:r>
      <w:r>
        <w:fldChar w:fldCharType="begin"/>
      </w:r>
      <w:r>
        <w:instrText xml:space="preserve"> PAGEREF _Toc12683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9747"/>
        </w:tabs>
      </w:pPr>
      <w:r>
        <w:fldChar w:fldCharType="begin"/>
      </w:r>
      <w:r>
        <w:instrText xml:space="preserve"> HYPERLINK \l _Toc16584 </w:instrText>
      </w:r>
      <w:r>
        <w:fldChar w:fldCharType="separate"/>
      </w:r>
      <w:r>
        <w:t>(二) 商务开标</w:t>
      </w:r>
      <w:r>
        <w:tab/>
      </w:r>
      <w:r>
        <w:fldChar w:fldCharType="begin"/>
      </w:r>
      <w:r>
        <w:instrText xml:space="preserve"> PAGEREF _Toc16584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_Toc24409 </w:instrText>
      </w:r>
      <w:r>
        <w:fldChar w:fldCharType="separate"/>
      </w:r>
      <w:r>
        <w:t>十二、 多轮报价</w:t>
      </w:r>
      <w:r>
        <w:tab/>
      </w:r>
      <w:r>
        <w:fldChar w:fldCharType="begin"/>
      </w:r>
      <w:r>
        <w:instrText xml:space="preserve"> PAGEREF _Toc24409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_Toc32124 </w:instrText>
      </w:r>
      <w:r>
        <w:fldChar w:fldCharType="separate"/>
      </w:r>
      <w:r>
        <w:t>十三、 中标通知书</w:t>
      </w:r>
      <w:r>
        <w:tab/>
      </w:r>
      <w:r>
        <w:fldChar w:fldCharType="begin"/>
      </w:r>
      <w:r>
        <w:instrText xml:space="preserve"> PAGEREF _Toc32124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pStyle w:val="12"/>
        <w:tabs>
          <w:tab w:val="right" w:leader="dot" w:pos="9747"/>
        </w:tabs>
      </w:pPr>
      <w:r>
        <w:fldChar w:fldCharType="begin"/>
      </w:r>
      <w:r>
        <w:instrText xml:space="preserve"> HYPERLINK \l _Toc22907 </w:instrText>
      </w:r>
      <w:r>
        <w:fldChar w:fldCharType="separate"/>
      </w:r>
      <w:r>
        <w:t>十四、 异议管理</w:t>
      </w:r>
      <w:r>
        <w:tab/>
      </w:r>
      <w:r>
        <w:fldChar w:fldCharType="begin"/>
      </w:r>
      <w:r>
        <w:instrText xml:space="preserve"> PAGEREF _Toc22907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9747"/>
        </w:tabs>
      </w:pPr>
      <w:r>
        <w:fldChar w:fldCharType="begin"/>
      </w:r>
      <w:r>
        <w:instrText xml:space="preserve"> HYPERLINK \l _Toc30330 </w:instrText>
      </w:r>
      <w:r>
        <w:fldChar w:fldCharType="separate"/>
      </w:r>
      <w:r>
        <w:t>(一) 异议管理</w:t>
      </w:r>
      <w:r>
        <w:tab/>
      </w:r>
      <w:r>
        <w:fldChar w:fldCharType="begin"/>
      </w:r>
      <w:r>
        <w:instrText xml:space="preserve"> PAGEREF _Toc30330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>
      <w:pPr>
        <w:pStyle w:val="13"/>
        <w:tabs>
          <w:tab w:val="right" w:leader="dot" w:pos="9747"/>
        </w:tabs>
      </w:pPr>
      <w:r>
        <w:fldChar w:fldCharType="begin"/>
      </w:r>
      <w:r>
        <w:instrText xml:space="preserve"> HYPERLINK \l _Toc20478 </w:instrText>
      </w:r>
      <w:r>
        <w:fldChar w:fldCharType="separate"/>
      </w:r>
      <w:r>
        <w:t xml:space="preserve">(二) </w:t>
      </w:r>
      <w:r>
        <w:rPr>
          <w:rFonts w:hint="eastAsia"/>
        </w:rPr>
        <w:t>异议答复</w:t>
      </w:r>
      <w:r>
        <w:tab/>
      </w:r>
      <w:r>
        <w:fldChar w:fldCharType="begin"/>
      </w:r>
      <w:r>
        <w:instrText xml:space="preserve"> PAGEREF _Toc20478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ind w:firstLine="420"/>
      </w:pPr>
      <w:r>
        <w:fldChar w:fldCharType="end"/>
      </w:r>
    </w:p>
    <w:p>
      <w:pPr>
        <w:ind w:firstLine="420"/>
      </w:pPr>
    </w:p>
    <w:p>
      <w:pPr>
        <w:ind w:firstLine="420"/>
      </w:pPr>
    </w:p>
    <w:p>
      <w:pPr>
        <w:tabs>
          <w:tab w:val="center" w:pos="4873"/>
        </w:tabs>
        <w:ind w:firstLine="420"/>
        <w:sectPr>
          <w:footerReference r:id="rId5" w:type="first"/>
          <w:headerReference r:id="rId3" w:type="default"/>
          <w:footerReference r:id="rId4" w:type="default"/>
          <w:pgSz w:w="11907" w:h="16840"/>
          <w:pgMar w:top="1440" w:right="1080" w:bottom="1440" w:left="1080" w:header="851" w:footer="850" w:gutter="0"/>
          <w:pgNumType w:fmt="upperRoman" w:start="1"/>
          <w:cols w:space="720" w:num="1"/>
          <w:titlePg/>
          <w:docGrid w:linePitch="312" w:charSpace="0"/>
        </w:sectPr>
      </w:pPr>
    </w:p>
    <w:p>
      <w:pPr>
        <w:pStyle w:val="2"/>
        <w:numPr>
          <w:ilvl w:val="0"/>
          <w:numId w:val="1"/>
        </w:numPr>
      </w:pPr>
      <w:bookmarkStart w:id="0" w:name="_Toc28824"/>
      <w:r>
        <w:t>登录账号进入系统</w:t>
      </w:r>
      <w:bookmarkEnd w:id="0"/>
    </w:p>
    <w:p>
      <w:r>
        <w:drawing>
          <wp:inline distT="0" distB="0" distL="0" distR="0">
            <wp:extent cx="5274310" cy="2312035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1" w:name="_Toc8907"/>
      <w:r>
        <w:t>投标报名</w:t>
      </w:r>
      <w:bookmarkEnd w:id="1"/>
    </w:p>
    <w:p>
      <w:pPr>
        <w:pStyle w:val="20"/>
        <w:numPr>
          <w:ilvl w:val="0"/>
          <w:numId w:val="2"/>
        </w:numPr>
        <w:ind w:firstLineChars="0"/>
      </w:pPr>
      <w:r>
        <w:t>点击投标选择投标报名及参与</w:t>
      </w:r>
    </w:p>
    <w:p>
      <w:r>
        <w:drawing>
          <wp:inline distT="0" distB="0" distL="0" distR="0">
            <wp:extent cx="5274310" cy="2312035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选择要参与的项目点击我要报名</w:t>
      </w:r>
    </w:p>
    <w:p>
      <w:r>
        <w:drawing>
          <wp:inline distT="0" distB="0" distL="0" distR="0">
            <wp:extent cx="5274310" cy="2312035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填写报名信息，选择报名材料附件</w:t>
      </w:r>
    </w:p>
    <w:p>
      <w:r>
        <w:drawing>
          <wp:inline distT="0" distB="0" distL="0" distR="0">
            <wp:extent cx="5274310" cy="2510155"/>
            <wp:effectExtent l="19050" t="0" r="2540" b="0"/>
            <wp:docPr id="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上传完成的文件会在右侧展示，可进行删除操作</w:t>
      </w:r>
    </w:p>
    <w:p>
      <w:r>
        <w:drawing>
          <wp:inline distT="0" distB="0" distL="0" distR="0">
            <wp:extent cx="5274310" cy="2510155"/>
            <wp:effectExtent l="19050" t="0" r="2540" b="0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提交报名，等待审核通过</w:t>
      </w:r>
    </w:p>
    <w:p>
      <w:r>
        <w:drawing>
          <wp:inline distT="0" distB="0" distL="0" distR="0">
            <wp:extent cx="5274310" cy="2510155"/>
            <wp:effectExtent l="19050" t="0" r="2540" b="0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已报名的项目会在我参与的招标项目内展示</w:t>
      </w:r>
    </w:p>
    <w:p>
      <w:r>
        <w:drawing>
          <wp:inline distT="0" distB="0" distL="114300" distR="114300">
            <wp:extent cx="5271135" cy="2282190"/>
            <wp:effectExtent l="0" t="0" r="12065" b="3810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报名审核未通过时可点击查看详情查看原因</w:t>
      </w:r>
    </w:p>
    <w:p>
      <w:r>
        <w:drawing>
          <wp:inline distT="0" distB="0" distL="114300" distR="114300">
            <wp:extent cx="5263515" cy="2221230"/>
            <wp:effectExtent l="0" t="0" r="6985" b="1270"/>
            <wp:docPr id="3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重新报名】按键</w:t>
      </w:r>
      <w:r>
        <w:rPr>
          <w:rFonts w:hint="eastAsia"/>
        </w:rPr>
        <w:t>进行调整报名资料</w:t>
      </w:r>
    </w:p>
    <w:p>
      <w:r>
        <w:drawing>
          <wp:inline distT="0" distB="0" distL="114300" distR="114300">
            <wp:extent cx="5267325" cy="2209800"/>
            <wp:effectExtent l="0" t="0" r="3175" b="0"/>
            <wp:docPr id="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完成后点击保存并提交</w:t>
      </w:r>
    </w:p>
    <w:p>
      <w:r>
        <w:drawing>
          <wp:inline distT="0" distB="0" distL="114300" distR="114300">
            <wp:extent cx="5269230" cy="2272665"/>
            <wp:effectExtent l="0" t="0" r="1270" b="635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2"/>
        </w:numPr>
        <w:ind w:firstLineChars="0"/>
      </w:pPr>
      <w:r>
        <w:t>等待审核通过</w:t>
      </w:r>
    </w:p>
    <w:p>
      <w:pPr>
        <w:pStyle w:val="2"/>
        <w:numPr>
          <w:ilvl w:val="0"/>
          <w:numId w:val="1"/>
        </w:numPr>
      </w:pPr>
      <w:bookmarkStart w:id="2" w:name="_Toc32443"/>
      <w:r>
        <w:t>可接受的邀请</w:t>
      </w:r>
      <w:bookmarkEnd w:id="2"/>
    </w:p>
    <w:p>
      <w:r>
        <w:t>招标类型为邀请招标或单一来源的项目通过此流程进行参与</w:t>
      </w:r>
    </w:p>
    <w:p>
      <w:pPr>
        <w:pStyle w:val="20"/>
        <w:numPr>
          <w:ilvl w:val="0"/>
          <w:numId w:val="3"/>
        </w:numPr>
        <w:ind w:firstLineChars="0"/>
      </w:pPr>
      <w:r>
        <w:t>选择</w:t>
      </w:r>
      <w:r>
        <w:rPr>
          <w:rFonts w:hint="eastAsia"/>
        </w:rPr>
        <w:t xml:space="preserve"> 投标</w:t>
      </w:r>
      <w:r>
        <w:rPr/>
        <w:sym w:font="Wingdings" w:char="F0E0"/>
      </w:r>
      <w:r>
        <w:rPr>
          <w:rFonts w:hint="eastAsia"/>
        </w:rPr>
        <w:t>可接受的邀请</w:t>
      </w:r>
    </w:p>
    <w:p>
      <w:r>
        <w:drawing>
          <wp:inline distT="0" distB="0" distL="0" distR="0">
            <wp:extent cx="5274310" cy="2510155"/>
            <wp:effectExtent l="19050" t="0" r="2540" b="0"/>
            <wp:docPr id="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选择项目点击确定</w:t>
      </w:r>
    </w:p>
    <w:p>
      <w:r>
        <w:drawing>
          <wp:inline distT="0" distB="0" distL="0" distR="0">
            <wp:extent cx="5274310" cy="2510155"/>
            <wp:effectExtent l="19050" t="0" r="2540" b="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编辑邀请回执</w:t>
      </w:r>
    </w:p>
    <w:p>
      <w:r>
        <w:drawing>
          <wp:inline distT="0" distB="0" distL="0" distR="0">
            <wp:extent cx="5274310" cy="2510155"/>
            <wp:effectExtent l="19050" t="0" r="2540" b="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可使用邀请函模板</w:t>
      </w:r>
    </w:p>
    <w:p>
      <w:r>
        <w:drawing>
          <wp:inline distT="0" distB="0" distL="0" distR="0">
            <wp:extent cx="5274310" cy="2510155"/>
            <wp:effectExtent l="19050" t="0" r="2540" b="0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选择模板并确定</w:t>
      </w:r>
    </w:p>
    <w:p>
      <w:r>
        <w:drawing>
          <wp:inline distT="0" distB="0" distL="0" distR="0">
            <wp:extent cx="5274310" cy="2510155"/>
            <wp:effectExtent l="19050" t="0" r="2540" b="0"/>
            <wp:docPr id="2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对模板内容进行编辑后生成回执文件</w:t>
      </w:r>
    </w:p>
    <w:p>
      <w:r>
        <w:drawing>
          <wp:inline distT="0" distB="0" distL="0" distR="0">
            <wp:extent cx="5274310" cy="2510155"/>
            <wp:effectExtent l="19050" t="0" r="2540" b="0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选择是否参与</w:t>
      </w:r>
    </w:p>
    <w:p>
      <w:r>
        <w:drawing>
          <wp:inline distT="0" distB="0" distL="0" distR="0">
            <wp:extent cx="5274310" cy="2510155"/>
            <wp:effectExtent l="19050" t="0" r="2540" b="0"/>
            <wp:docPr id="2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3"/>
        </w:numPr>
        <w:ind w:firstLineChars="0"/>
      </w:pPr>
      <w:r>
        <w:rPr>
          <w:rFonts w:hint="eastAsia"/>
        </w:rPr>
        <w:t>确认参与后即可下载招标文件，进行制作标书</w:t>
      </w:r>
    </w:p>
    <w:p>
      <w:pPr>
        <w:pStyle w:val="2"/>
        <w:numPr>
          <w:ilvl w:val="0"/>
          <w:numId w:val="1"/>
        </w:numPr>
      </w:pPr>
      <w:bookmarkStart w:id="3" w:name="_Toc9795"/>
      <w:r>
        <w:t>招标文件缴费</w:t>
      </w:r>
      <w:bookmarkEnd w:id="3"/>
    </w:p>
    <w:p>
      <w:pPr>
        <w:rPr>
          <w:rFonts w:hint="eastAsia"/>
          <w:lang w:val="en-US" w:eastAsia="zh-CN"/>
        </w:rPr>
      </w:pPr>
      <w:r>
        <w:rPr>
          <w:rFonts w:hint="eastAsia"/>
        </w:rPr>
        <w:t>报名审核通过后方可进行此操作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点击【进入流程图】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402840"/>
            <wp:effectExtent l="0" t="0" r="1270" b="1016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4"/>
        </w:numPr>
        <w:ind w:firstLineChars="0"/>
      </w:pPr>
      <w:r>
        <w:t>选择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缴纳文件费】</w:t>
      </w:r>
    </w:p>
    <w:p>
      <w:r>
        <w:drawing>
          <wp:inline distT="0" distB="0" distL="114300" distR="114300">
            <wp:extent cx="5274310" cy="2355850"/>
            <wp:effectExtent l="0" t="0" r="8890" b="6350"/>
            <wp:docPr id="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4"/>
        </w:numPr>
        <w:ind w:firstLineChars="0"/>
      </w:pPr>
      <w:r>
        <w:t>选择缴费凭证</w:t>
      </w:r>
    </w:p>
    <w:p>
      <w:r>
        <w:drawing>
          <wp:inline distT="0" distB="0" distL="114300" distR="114300">
            <wp:extent cx="5262880" cy="2416810"/>
            <wp:effectExtent l="0" t="0" r="7620" b="8890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4"/>
        </w:numPr>
        <w:ind w:firstLineChars="0"/>
      </w:pPr>
      <w:r>
        <w:rPr>
          <w:rFonts w:hint="eastAsia"/>
        </w:rPr>
        <w:t>等待凭证上传成功后点击保存并提交</w:t>
      </w:r>
    </w:p>
    <w:p>
      <w:r>
        <w:drawing>
          <wp:inline distT="0" distB="0" distL="114300" distR="114300">
            <wp:extent cx="5264150" cy="2394585"/>
            <wp:effectExtent l="0" t="0" r="6350" b="5715"/>
            <wp:docPr id="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4"/>
        </w:numPr>
        <w:ind w:firstLineChars="0"/>
      </w:pPr>
      <w:r>
        <w:t>等待审核通过</w:t>
      </w:r>
    </w:p>
    <w:p/>
    <w:p>
      <w:pPr>
        <w:pStyle w:val="2"/>
        <w:numPr>
          <w:ilvl w:val="0"/>
          <w:numId w:val="1"/>
        </w:numPr>
      </w:pPr>
      <w:bookmarkStart w:id="4" w:name="_Toc1235"/>
      <w:r>
        <w:t>招标文件下载</w:t>
      </w:r>
      <w:bookmarkEnd w:id="4"/>
    </w:p>
    <w:p>
      <w:r>
        <w:rPr>
          <w:rFonts w:hint="eastAsia"/>
        </w:rPr>
        <w:t>文件费审核通过后即可下载招标文件</w:t>
      </w:r>
    </w:p>
    <w:p>
      <w:r>
        <w:drawing>
          <wp:inline distT="0" distB="0" distL="114300" distR="114300">
            <wp:extent cx="5270500" cy="2233295"/>
            <wp:effectExtent l="0" t="0" r="0" b="1905"/>
            <wp:docPr id="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5" w:name="_Toc5148"/>
      <w:r>
        <w:t>澄清文件下载</w:t>
      </w:r>
      <w:bookmarkEnd w:id="5"/>
    </w:p>
    <w:p>
      <w:pPr>
        <w:pStyle w:val="20"/>
        <w:numPr>
          <w:ilvl w:val="0"/>
          <w:numId w:val="5"/>
        </w:numPr>
        <w:ind w:firstLineChars="0"/>
      </w:pPr>
      <w:r>
        <w:t>选择澄清与修改文件下载</w:t>
      </w:r>
    </w:p>
    <w:p>
      <w:r>
        <w:drawing>
          <wp:inline distT="0" distB="0" distL="114300" distR="114300">
            <wp:extent cx="5270500" cy="2216785"/>
            <wp:effectExtent l="0" t="0" r="0" b="5715"/>
            <wp:docPr id="5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5"/>
        </w:numPr>
        <w:ind w:firstLineChars="0"/>
      </w:pPr>
      <w:r>
        <w:t>点击澄清与修改文件下载</w:t>
      </w:r>
    </w:p>
    <w:p>
      <w:r>
        <w:drawing>
          <wp:inline distT="0" distB="0" distL="114300" distR="114300">
            <wp:extent cx="5264785" cy="1837055"/>
            <wp:effectExtent l="0" t="0" r="5715" b="4445"/>
            <wp:docPr id="5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5"/>
        </w:numPr>
        <w:ind w:firstLineChars="0"/>
      </w:pPr>
      <w:r>
        <w:t>下载完成后进行回执，点击填充模板变量</w:t>
      </w:r>
    </w:p>
    <w:p>
      <w:r>
        <w:drawing>
          <wp:inline distT="0" distB="0" distL="114300" distR="114300">
            <wp:extent cx="5266690" cy="2380615"/>
            <wp:effectExtent l="0" t="0" r="3810" b="6985"/>
            <wp:docPr id="5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5"/>
        </w:numPr>
        <w:ind w:firstLineChars="0"/>
      </w:pPr>
      <w:r>
        <w:t>点击发出下载回执</w:t>
      </w:r>
    </w:p>
    <w:p>
      <w:r>
        <w:drawing>
          <wp:inline distT="0" distB="0" distL="114300" distR="114300">
            <wp:extent cx="5266690" cy="2261870"/>
            <wp:effectExtent l="0" t="0" r="3810" b="11430"/>
            <wp:docPr id="6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6" w:name="_Toc9735"/>
      <w:r>
        <w:t>招标文件质疑</w:t>
      </w:r>
      <w:bookmarkEnd w:id="6"/>
    </w:p>
    <w:p>
      <w:r>
        <w:rPr>
          <w:rFonts w:hint="eastAsia"/>
        </w:rPr>
        <w:t>对招标文件有疑问时可进行此操作</w:t>
      </w:r>
    </w:p>
    <w:p>
      <w:r>
        <w:drawing>
          <wp:inline distT="0" distB="0" distL="114300" distR="114300">
            <wp:extent cx="5268595" cy="2346960"/>
            <wp:effectExtent l="0" t="0" r="1905" b="2540"/>
            <wp:docPr id="6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0"/>
        </w:numPr>
        <w:ind w:leftChars="0"/>
      </w:pPr>
    </w:p>
    <w:p>
      <w:pPr>
        <w:pStyle w:val="20"/>
        <w:numPr>
          <w:ilvl w:val="0"/>
          <w:numId w:val="6"/>
        </w:numPr>
        <w:ind w:firstLineChars="0"/>
      </w:pPr>
      <w:r>
        <w:t>点击新建</w:t>
      </w:r>
    </w:p>
    <w:p>
      <w:r>
        <w:drawing>
          <wp:inline distT="0" distB="0" distL="114300" distR="114300">
            <wp:extent cx="5270500" cy="2350135"/>
            <wp:effectExtent l="0" t="0" r="0" b="12065"/>
            <wp:docPr id="6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6"/>
        </w:numPr>
        <w:ind w:firstLineChars="0"/>
      </w:pPr>
      <w:r>
        <w:rPr>
          <w:rFonts w:hint="eastAsia"/>
        </w:rPr>
        <w:t>填写质疑内容</w:t>
      </w:r>
    </w:p>
    <w:p>
      <w:r>
        <w:drawing>
          <wp:inline distT="0" distB="0" distL="114300" distR="114300">
            <wp:extent cx="5271770" cy="2270760"/>
            <wp:effectExtent l="0" t="0" r="11430" b="2540"/>
            <wp:docPr id="6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6"/>
        </w:numPr>
        <w:ind w:firstLineChars="0"/>
      </w:pPr>
      <w:r>
        <w:rPr>
          <w:rFonts w:hint="eastAsia"/>
        </w:rPr>
        <w:t>选择相应的质疑材料等待上传完成</w:t>
      </w:r>
    </w:p>
    <w:p>
      <w:r>
        <w:drawing>
          <wp:inline distT="0" distB="0" distL="0" distR="0">
            <wp:extent cx="5274310" cy="2313305"/>
            <wp:effectExtent l="19050" t="0" r="2540" b="0"/>
            <wp:docPr id="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6"/>
        </w:numPr>
        <w:ind w:firstLineChars="0"/>
      </w:pPr>
      <w:r>
        <w:t>上传完成后</w:t>
      </w:r>
      <w:r>
        <w:rPr>
          <w:rFonts w:hint="eastAsia"/>
        </w:rPr>
        <w:t>点击</w:t>
      </w:r>
      <w:r>
        <w:t>保存并提交</w:t>
      </w:r>
    </w:p>
    <w:p>
      <w:r>
        <w:drawing>
          <wp:inline distT="0" distB="0" distL="114300" distR="114300">
            <wp:extent cx="5272405" cy="2321560"/>
            <wp:effectExtent l="0" t="0" r="10795" b="2540"/>
            <wp:docPr id="6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7" w:name="_Toc12003"/>
      <w:r>
        <w:t>缴纳保证金</w:t>
      </w:r>
      <w:bookmarkEnd w:id="7"/>
    </w:p>
    <w:p>
      <w:r>
        <w:rPr>
          <w:rFonts w:hint="eastAsia"/>
        </w:rPr>
        <w:t>文件费审核通过后方可进行此操作</w:t>
      </w:r>
    </w:p>
    <w:p>
      <w:pPr>
        <w:pStyle w:val="20"/>
        <w:numPr>
          <w:ilvl w:val="0"/>
          <w:numId w:val="7"/>
        </w:numPr>
        <w:ind w:firstLineChars="0"/>
      </w:pPr>
      <w:r>
        <w:rPr>
          <w:rFonts w:hint="eastAsia"/>
          <w:lang w:val="en-US" w:eastAsia="zh-CN"/>
        </w:rPr>
        <w:t>流程图里选择【缴纳保证金】</w:t>
      </w:r>
    </w:p>
    <w:p>
      <w:r>
        <w:drawing>
          <wp:inline distT="0" distB="0" distL="114300" distR="114300">
            <wp:extent cx="5264785" cy="2327910"/>
            <wp:effectExtent l="0" t="0" r="5715" b="8890"/>
            <wp:docPr id="6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7"/>
        </w:numPr>
        <w:ind w:firstLineChars="0"/>
      </w:pPr>
      <w:r>
        <w:t>选择缴费凭证</w:t>
      </w:r>
    </w:p>
    <w:p/>
    <w:p>
      <w:r>
        <w:drawing>
          <wp:inline distT="0" distB="0" distL="114300" distR="114300">
            <wp:extent cx="5267960" cy="2435860"/>
            <wp:effectExtent l="0" t="0" r="2540" b="2540"/>
            <wp:docPr id="7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7"/>
        </w:numPr>
        <w:ind w:firstLineChars="0"/>
      </w:pPr>
      <w:r>
        <w:t>上传成功后点击保存并提交</w:t>
      </w:r>
    </w:p>
    <w:p>
      <w:r>
        <w:drawing>
          <wp:inline distT="0" distB="0" distL="114300" distR="114300">
            <wp:extent cx="5269230" cy="2386330"/>
            <wp:effectExtent l="0" t="0" r="1270" b="1270"/>
            <wp:docPr id="7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numPr>
          <w:ilvl w:val="0"/>
          <w:numId w:val="1"/>
        </w:numPr>
      </w:pPr>
      <w:bookmarkStart w:id="8" w:name="_Toc7851"/>
      <w:r>
        <w:t>投标文件制作及上传</w:t>
      </w:r>
      <w:bookmarkEnd w:id="8"/>
    </w:p>
    <w:p>
      <w:pPr>
        <w:pStyle w:val="20"/>
        <w:numPr>
          <w:ilvl w:val="0"/>
          <w:numId w:val="8"/>
        </w:numPr>
        <w:ind w:firstLineChars="0"/>
      </w:pPr>
      <w:r>
        <w:t>登录投标文件制作工具，点击制作投标文件</w:t>
      </w:r>
    </w:p>
    <w:p>
      <w:pPr>
        <w:pStyle w:val="20"/>
        <w:ind w:left="420" w:firstLine="0" w:firstLineChars="0"/>
      </w:pPr>
      <w:r>
        <w:drawing>
          <wp:inline distT="0" distB="0" distL="0" distR="0">
            <wp:extent cx="5274310" cy="3621405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点击打开投标文件，选择投标文件上传</w:t>
      </w:r>
    </w:p>
    <w:p>
      <w:r>
        <w:drawing>
          <wp:inline distT="0" distB="0" distL="0" distR="0">
            <wp:extent cx="5274310" cy="3585845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6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完成后关闭弹框</w:t>
      </w:r>
    </w:p>
    <w:p>
      <w:r>
        <w:drawing>
          <wp:inline distT="0" distB="0" distL="0" distR="0">
            <wp:extent cx="5274310" cy="3538855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9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点击设置报价一览表</w:t>
      </w:r>
    </w:p>
    <w:p>
      <w:r>
        <w:drawing>
          <wp:inline distT="0" distB="0" distL="0" distR="0">
            <wp:extent cx="5274310" cy="3621405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填写信息，完成后点提交</w:t>
      </w:r>
    </w:p>
    <w:p>
      <w:r>
        <w:drawing>
          <wp:inline distT="0" distB="0" distL="0" distR="0">
            <wp:extent cx="5274310" cy="3587115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点击签章（</w:t>
      </w:r>
      <w:r>
        <w:rPr>
          <w:rFonts w:hint="eastAsia"/>
          <w:color w:val="FF0000"/>
        </w:rPr>
        <w:t>请先通过官网下载中心下载密钥管家，安装完成后打开再进行签章，该步骤如遇问题，请前往官网帮助中心查看“关于签章失败问题”文章</w:t>
      </w:r>
      <w:r>
        <w:t>）</w:t>
      </w:r>
    </w:p>
    <w:p>
      <w:r>
        <w:drawing>
          <wp:inline distT="0" distB="0" distL="0" distR="0">
            <wp:extent cx="5274310" cy="3621405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568700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点击签章按钮（签章按钮后第二个按钮可进行批量签章）</w:t>
      </w:r>
    </w:p>
    <w:p>
      <w:r>
        <w:drawing>
          <wp:inline distT="0" distB="0" distL="0" distR="0">
            <wp:extent cx="5274310" cy="3164840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4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rPr>
          <w:rFonts w:hint="eastAsia"/>
        </w:rPr>
        <w:t>输入CA密码进行签章，完成后点击保存</w:t>
      </w:r>
    </w:p>
    <w:p>
      <w:r>
        <w:drawing>
          <wp:inline distT="0" distB="0" distL="0" distR="0">
            <wp:extent cx="5274310" cy="3144520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5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完成签章后关闭弹框</w:t>
      </w:r>
    </w:p>
    <w:p>
      <w:pPr>
        <w:pStyle w:val="20"/>
        <w:ind w:left="420" w:firstLine="0" w:firstLineChars="0"/>
      </w:pPr>
      <w:r>
        <w:drawing>
          <wp:inline distT="0" distB="0" distL="0" distR="0">
            <wp:extent cx="5274310" cy="3584575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点击加密按钮进行加密</w:t>
      </w:r>
    </w:p>
    <w:p>
      <w:r>
        <w:drawing>
          <wp:inline distT="0" distB="0" distL="0" distR="0">
            <wp:extent cx="5274310" cy="3621405"/>
            <wp:effectExtent l="1905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加密完成后导出文件</w:t>
      </w:r>
    </w:p>
    <w:p>
      <w:r>
        <w:drawing>
          <wp:inline distT="0" distB="0" distL="0" distR="0">
            <wp:extent cx="5274310" cy="3621405"/>
            <wp:effectExtent l="19050" t="0" r="254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返回</w:t>
      </w:r>
      <w:r>
        <w:rPr>
          <w:rFonts w:hint="eastAsia"/>
          <w:lang w:val="en-US" w:eastAsia="zh-CN"/>
        </w:rPr>
        <w:t>项目流程图</w:t>
      </w:r>
      <w:r>
        <w:t>进行投标</w:t>
      </w:r>
    </w:p>
    <w:p>
      <w:r>
        <w:drawing>
          <wp:inline distT="0" distB="0" distL="114300" distR="114300">
            <wp:extent cx="5271770" cy="2282190"/>
            <wp:effectExtent l="0" t="0" r="11430" b="3810"/>
            <wp:docPr id="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选择导出的加密文件</w:t>
      </w:r>
    </w:p>
    <w:p>
      <w:r>
        <w:drawing>
          <wp:inline distT="0" distB="0" distL="0" distR="0">
            <wp:extent cx="5274310" cy="2312035"/>
            <wp:effectExtent l="1905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8"/>
        </w:numPr>
        <w:ind w:firstLineChars="0"/>
      </w:pPr>
      <w:r>
        <w:t>点击上传测试解密（解密成功代表投标成功），等待开标</w:t>
      </w:r>
    </w:p>
    <w:p>
      <w:r>
        <w:drawing>
          <wp:inline distT="0" distB="0" distL="0" distR="0">
            <wp:extent cx="5274310" cy="2312035"/>
            <wp:effectExtent l="19050" t="0" r="254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FF0000"/>
        </w:rPr>
      </w:pPr>
      <w:r>
        <w:rPr>
          <w:rFonts w:hint="eastAsia"/>
          <w:color w:val="FF0000"/>
        </w:rPr>
        <w:t>注：请先通过官网下载中心下载鹏飞集团CA助手，安装完成后双击打开助手（助手打开会在屏幕右下角显示图标）后在进行测试解密</w:t>
      </w:r>
    </w:p>
    <w:p>
      <w:pPr>
        <w:pStyle w:val="2"/>
        <w:numPr>
          <w:ilvl w:val="0"/>
          <w:numId w:val="1"/>
        </w:numPr>
      </w:pPr>
      <w:bookmarkStart w:id="9" w:name="_Toc7598"/>
      <w:r>
        <w:rPr>
          <w:rFonts w:hint="eastAsia"/>
        </w:rPr>
        <w:t>单信封开标</w:t>
      </w:r>
      <w:bookmarkEnd w:id="9"/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点击进入开标大厅</w:t>
      </w:r>
    </w:p>
    <w:p>
      <w:r>
        <w:drawing>
          <wp:inline distT="0" distB="0" distL="114300" distR="114300">
            <wp:extent cx="5266055" cy="2332990"/>
            <wp:effectExtent l="0" t="0" r="4445" b="3810"/>
            <wp:docPr id="7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阅读完协议后点击同意进入开标大厅</w:t>
      </w:r>
    </w:p>
    <w:p>
      <w:r>
        <w:drawing>
          <wp:inline distT="0" distB="0" distL="0" distR="0">
            <wp:extent cx="5274310" cy="2510155"/>
            <wp:effectExtent l="19050" t="0" r="2540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等待主持人开标</w:t>
      </w:r>
    </w:p>
    <w:p>
      <w:r>
        <w:rPr>
          <w:rFonts w:hint="eastAsia"/>
        </w:rPr>
        <w:drawing>
          <wp:inline distT="0" distB="0" distL="0" distR="0">
            <wp:extent cx="5274310" cy="2312035"/>
            <wp:effectExtent l="19050" t="0" r="2540" b="0"/>
            <wp:docPr id="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开标开始点击解密（</w:t>
      </w:r>
      <w:r>
        <w:rPr>
          <w:rFonts w:hint="eastAsia"/>
          <w:color w:val="FF0000"/>
        </w:rPr>
        <w:t>注：请您确保插入CA并打开鹏飞集团CA助手</w:t>
      </w:r>
      <w:r>
        <w:rPr>
          <w:rFonts w:hint="eastAsia"/>
        </w:rPr>
        <w:t>）</w:t>
      </w:r>
    </w:p>
    <w:p>
      <w:r>
        <w:rPr>
          <w:rFonts w:hint="eastAsia"/>
        </w:rPr>
        <w:drawing>
          <wp:inline distT="0" distB="0" distL="0" distR="0">
            <wp:extent cx="5274310" cy="2312035"/>
            <wp:effectExtent l="19050" t="0" r="2540" b="0"/>
            <wp:docPr id="19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解密完成后等待结束</w:t>
      </w:r>
    </w:p>
    <w:p/>
    <w:p>
      <w:pPr>
        <w:pStyle w:val="2"/>
        <w:numPr>
          <w:ilvl w:val="0"/>
          <w:numId w:val="1"/>
        </w:numPr>
      </w:pPr>
      <w:bookmarkStart w:id="10" w:name="_Toc11589"/>
      <w:r>
        <w:rPr>
          <w:rFonts w:hint="eastAsia"/>
        </w:rPr>
        <w:t>双信封开标</w:t>
      </w:r>
      <w:bookmarkEnd w:id="10"/>
    </w:p>
    <w:p>
      <w:pPr>
        <w:pStyle w:val="3"/>
        <w:numPr>
          <w:ilvl w:val="0"/>
          <w:numId w:val="10"/>
        </w:numPr>
      </w:pPr>
      <w:bookmarkStart w:id="11" w:name="_Toc12683"/>
      <w:r>
        <w:t>技术开标</w:t>
      </w:r>
      <w:bookmarkEnd w:id="11"/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点击进入开标大厅</w:t>
      </w:r>
    </w:p>
    <w:p>
      <w:r>
        <w:drawing>
          <wp:inline distT="0" distB="0" distL="114300" distR="114300">
            <wp:extent cx="5266055" cy="2332990"/>
            <wp:effectExtent l="0" t="0" r="4445" b="3810"/>
            <wp:docPr id="7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阅读完协议后点击同意进入技术开标大厅</w:t>
      </w:r>
    </w:p>
    <w:p>
      <w:r>
        <w:drawing>
          <wp:inline distT="0" distB="0" distL="0" distR="0">
            <wp:extent cx="5274310" cy="2510155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等待主持人开标</w:t>
      </w:r>
    </w:p>
    <w:p>
      <w:r>
        <w:rPr>
          <w:rFonts w:hint="eastAsia"/>
        </w:rPr>
        <w:drawing>
          <wp:inline distT="0" distB="0" distL="0" distR="0">
            <wp:extent cx="5274310" cy="2312035"/>
            <wp:effectExtent l="1905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开标开始点击解密（</w:t>
      </w:r>
      <w:r>
        <w:rPr>
          <w:rFonts w:hint="eastAsia"/>
          <w:color w:val="FF0000"/>
        </w:rPr>
        <w:t>注：请您确保插入CA并打开鹏飞集团CA助手</w:t>
      </w:r>
      <w:r>
        <w:rPr>
          <w:rFonts w:hint="eastAsia"/>
        </w:rPr>
        <w:t>）</w:t>
      </w:r>
    </w:p>
    <w:p>
      <w:r>
        <w:rPr>
          <w:rFonts w:hint="eastAsia"/>
        </w:rPr>
        <w:drawing>
          <wp:inline distT="0" distB="0" distL="0" distR="0">
            <wp:extent cx="5274310" cy="2312035"/>
            <wp:effectExtent l="1905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9"/>
        </w:numPr>
        <w:ind w:firstLineChars="0"/>
      </w:pPr>
      <w:r>
        <w:rPr>
          <w:rFonts w:hint="eastAsia"/>
        </w:rPr>
        <w:t>解密完成后等待结束</w:t>
      </w:r>
    </w:p>
    <w:p>
      <w:pPr>
        <w:pStyle w:val="3"/>
        <w:numPr>
          <w:ilvl w:val="0"/>
          <w:numId w:val="10"/>
        </w:numPr>
      </w:pPr>
      <w:bookmarkStart w:id="12" w:name="_Toc16584"/>
      <w:r>
        <w:t>商务开标</w:t>
      </w:r>
      <w:bookmarkEnd w:id="12"/>
    </w:p>
    <w:p>
      <w:pPr>
        <w:pStyle w:val="20"/>
        <w:numPr>
          <w:ilvl w:val="0"/>
          <w:numId w:val="11"/>
        </w:numPr>
        <w:ind w:firstLineChars="0"/>
      </w:pPr>
      <w:r>
        <w:rPr>
          <w:rFonts w:hint="eastAsia"/>
        </w:rPr>
        <w:t>点击进入开标大厅</w:t>
      </w:r>
    </w:p>
    <w:p>
      <w:pPr>
        <w:pStyle w:val="20"/>
        <w:ind w:left="420" w:firstLine="0" w:firstLineChars="0"/>
      </w:pPr>
      <w:r>
        <w:drawing>
          <wp:inline distT="0" distB="0" distL="0" distR="0">
            <wp:extent cx="5274310" cy="2510155"/>
            <wp:effectExtent l="19050" t="0" r="254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1"/>
        </w:numPr>
        <w:ind w:firstLineChars="0"/>
      </w:pPr>
      <w:r>
        <w:t>主持人唱标后进入大厅查看唱标信息 （未入围企业不可进行查看信息）</w:t>
      </w:r>
    </w:p>
    <w:p>
      <w:r>
        <w:drawing>
          <wp:inline distT="0" distB="0" distL="0" distR="0">
            <wp:extent cx="5274310" cy="2312035"/>
            <wp:effectExtent l="19050" t="0" r="2540" b="0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13" w:name="_Toc24409"/>
      <w:r>
        <w:t>多轮报价</w:t>
      </w:r>
      <w:bookmarkEnd w:id="13"/>
    </w:p>
    <w:p>
      <w:r>
        <w:rPr>
          <w:rFonts w:hint="eastAsia"/>
        </w:rPr>
        <w:t>磋商项目需要进行多轮报价</w:t>
      </w:r>
    </w:p>
    <w:p>
      <w:pPr>
        <w:pStyle w:val="20"/>
        <w:numPr>
          <w:ilvl w:val="0"/>
          <w:numId w:val="12"/>
        </w:numPr>
        <w:ind w:firstLineChars="0"/>
      </w:pPr>
      <w:r>
        <w:t>主持人开启多轮报价后进入开标大厅（双信封项目需进入商务开标大厅进行报价）进行报价（</w:t>
      </w:r>
      <w:r>
        <w:rPr>
          <w:color w:val="FF0000"/>
        </w:rPr>
        <w:t>未入围的企业不可查看开标信息及多轮报价</w:t>
      </w:r>
      <w:r>
        <w:t>）</w:t>
      </w:r>
    </w:p>
    <w:p>
      <w:r>
        <w:drawing>
          <wp:inline distT="0" distB="0" distL="0" distR="0">
            <wp:extent cx="5274310" cy="2312035"/>
            <wp:effectExtent l="19050" t="0" r="2540" b="0"/>
            <wp:docPr id="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2"/>
        </w:numPr>
        <w:ind w:firstLineChars="0"/>
      </w:pPr>
      <w:r>
        <w:t>填写完信息后点击提交报价</w:t>
      </w:r>
    </w:p>
    <w:p>
      <w:r>
        <w:rPr>
          <w:rFonts w:hint="eastAsia"/>
        </w:rPr>
        <w:drawing>
          <wp:inline distT="0" distB="0" distL="0" distR="0">
            <wp:extent cx="5274310" cy="2312035"/>
            <wp:effectExtent l="19050" t="0" r="2540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rPr>
          <w:color w:val="FF0000"/>
        </w:rPr>
      </w:pPr>
    </w:p>
    <w:p>
      <w:pPr>
        <w:rPr>
          <w:color w:val="FF0000"/>
        </w:rPr>
      </w:pPr>
    </w:p>
    <w:p>
      <w:pPr>
        <w:rPr>
          <w:color w:val="FF0000"/>
        </w:rPr>
      </w:pPr>
    </w:p>
    <w:p>
      <w:r>
        <w:rPr>
          <w:color w:val="FF0000"/>
        </w:rPr>
        <w:t>注：点击提交无响应请尝试关闭弹框重新打开报价</w:t>
      </w:r>
    </w:p>
    <w:p/>
    <w:p>
      <w:r>
        <w:drawing>
          <wp:inline distT="0" distB="0" distL="0" distR="0">
            <wp:extent cx="5274310" cy="2312670"/>
            <wp:effectExtent l="19050" t="0" r="2540" b="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312035"/>
            <wp:effectExtent l="19050" t="0" r="2540" b="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2"/>
        </w:numPr>
        <w:ind w:firstLineChars="0"/>
      </w:pPr>
      <w:r>
        <w:t>等待主持人开启下次报价或是结束报价</w:t>
      </w:r>
    </w:p>
    <w:p/>
    <w:p>
      <w:pPr>
        <w:pStyle w:val="2"/>
        <w:numPr>
          <w:ilvl w:val="0"/>
          <w:numId w:val="1"/>
        </w:numPr>
      </w:pPr>
      <w:bookmarkStart w:id="14" w:name="_Toc32124"/>
      <w:r>
        <w:t>中标通知书</w:t>
      </w:r>
      <w:bookmarkEnd w:id="14"/>
    </w:p>
    <w:p>
      <w:pPr>
        <w:pStyle w:val="20"/>
        <w:numPr>
          <w:ilvl w:val="0"/>
          <w:numId w:val="13"/>
        </w:numPr>
        <w:ind w:firstLineChars="0"/>
      </w:pPr>
      <w:r>
        <w:rPr>
          <w:rFonts w:hint="eastAsia"/>
        </w:rPr>
        <w:t>选择  定标</w:t>
      </w:r>
      <w:r>
        <w:rPr/>
        <w:sym w:font="Wingdings" w:char="F0E0"/>
      </w:r>
      <w:r>
        <w:rPr>
          <w:rFonts w:hint="eastAsia"/>
        </w:rPr>
        <w:t>中标通知书</w:t>
      </w:r>
    </w:p>
    <w:p>
      <w:r>
        <w:drawing>
          <wp:inline distT="0" distB="0" distL="114300" distR="114300">
            <wp:extent cx="5272405" cy="2360930"/>
            <wp:effectExtent l="0" t="0" r="10795" b="1270"/>
            <wp:docPr id="7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3"/>
        </w:numPr>
        <w:ind w:firstLineChars="0"/>
      </w:pPr>
      <w:r>
        <w:t>点击查看详情</w:t>
      </w:r>
    </w:p>
    <w:p>
      <w:r>
        <w:drawing>
          <wp:inline distT="0" distB="0" distL="114300" distR="114300">
            <wp:extent cx="5273040" cy="2150110"/>
            <wp:effectExtent l="0" t="0" r="10160" b="8890"/>
            <wp:docPr id="8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3"/>
        </w:numPr>
        <w:ind w:firstLineChars="0"/>
      </w:pPr>
      <w:r>
        <w:t>进行填写分项报价表（若招标人未设置分项报价则会跳过该步骤）</w:t>
      </w:r>
    </w:p>
    <w:p>
      <w:r>
        <w:drawing>
          <wp:inline distT="0" distB="0" distL="0" distR="0">
            <wp:extent cx="5274310" cy="2510155"/>
            <wp:effectExtent l="19050" t="0" r="2540" b="0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3"/>
        </w:numPr>
        <w:ind w:firstLineChars="0"/>
      </w:pPr>
      <w:r>
        <w:t>提交后再次点击查看详情，可查看中标通知书内容</w:t>
      </w:r>
    </w:p>
    <w:p>
      <w:r>
        <w:drawing>
          <wp:inline distT="0" distB="0" distL="0" distR="0">
            <wp:extent cx="5274310" cy="2510155"/>
            <wp:effectExtent l="19050" t="0" r="2540" b="0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15" w:name="_Toc22907"/>
      <w:r>
        <w:t>异议管理</w:t>
      </w:r>
      <w:bookmarkEnd w:id="15"/>
    </w:p>
    <w:p>
      <w:pPr>
        <w:pStyle w:val="3"/>
        <w:numPr>
          <w:ilvl w:val="0"/>
          <w:numId w:val="14"/>
        </w:numPr>
      </w:pPr>
      <w:bookmarkStart w:id="16" w:name="_Toc30330"/>
      <w:r>
        <w:t>异议管理</w:t>
      </w:r>
      <w:bookmarkEnd w:id="16"/>
    </w:p>
    <w:p>
      <w:r>
        <w:rPr>
          <w:rFonts w:hint="eastAsia"/>
        </w:rPr>
        <w:t>可对开标过程及中标结果公示发出质疑</w:t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选择  异议管理</w:t>
      </w:r>
      <w:r>
        <w:rPr/>
        <w:sym w:font="Wingdings" w:char="F0E0"/>
      </w:r>
      <w:r>
        <w:rPr>
          <w:rFonts w:hint="eastAsia"/>
        </w:rPr>
        <w:t>异议管理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点击新建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选择异议节点、标段并完善页面信息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4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上传相应附件</w:t>
      </w:r>
    </w:p>
    <w:p>
      <w:r>
        <w:drawing>
          <wp:inline distT="0" distB="0" distL="0" distR="0">
            <wp:extent cx="5274310" cy="2313305"/>
            <wp:effectExtent l="19050" t="0" r="2540" b="0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点击保存并提交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4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等待招标人答疑后可查看信息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4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5"/>
        </w:numPr>
        <w:ind w:firstLineChars="0"/>
      </w:pPr>
      <w:r>
        <w:rPr>
          <w:rFonts w:hint="eastAsia"/>
        </w:rPr>
        <w:t>查看答疑信息</w:t>
      </w:r>
    </w:p>
    <w:p>
      <w:r>
        <w:rPr>
          <w:rFonts w:hint="eastAsia"/>
        </w:rPr>
        <w:drawing>
          <wp:inline distT="0" distB="0" distL="0" distR="0">
            <wp:extent cx="5274310" cy="2510155"/>
            <wp:effectExtent l="19050" t="0" r="2540" b="0"/>
            <wp:docPr id="4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14"/>
        </w:numPr>
      </w:pPr>
      <w:bookmarkStart w:id="17" w:name="_Toc20478"/>
      <w:r>
        <w:rPr>
          <w:rFonts w:hint="eastAsia"/>
        </w:rPr>
        <w:t>异议答复</w:t>
      </w:r>
      <w:bookmarkEnd w:id="17"/>
    </w:p>
    <w:p>
      <w:r>
        <w:rPr>
          <w:rFonts w:hint="eastAsia"/>
        </w:rPr>
        <w:t>答复专家在评标过程中提出的质疑</w:t>
      </w:r>
    </w:p>
    <w:p>
      <w:pPr>
        <w:pStyle w:val="20"/>
        <w:numPr>
          <w:ilvl w:val="0"/>
          <w:numId w:val="16"/>
        </w:numPr>
        <w:ind w:firstLineChars="0"/>
      </w:pPr>
      <w:r>
        <w:t>选择</w:t>
      </w:r>
      <w:r>
        <w:rPr>
          <w:rFonts w:hint="eastAsia"/>
        </w:rPr>
        <w:t xml:space="preserve">  异议管理</w:t>
      </w:r>
      <w:r>
        <w:rPr/>
        <w:sym w:font="Wingdings" w:char="F0E0"/>
      </w:r>
      <w:r>
        <w:rPr>
          <w:rFonts w:hint="eastAsia"/>
        </w:rPr>
        <w:t>异议答复</w:t>
      </w:r>
    </w:p>
    <w:p>
      <w:r>
        <w:drawing>
          <wp:inline distT="0" distB="0" distL="0" distR="0">
            <wp:extent cx="5274310" cy="2313305"/>
            <wp:effectExtent l="19050" t="0" r="2540" b="0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20"/>
        <w:numPr>
          <w:ilvl w:val="0"/>
          <w:numId w:val="16"/>
        </w:numPr>
        <w:ind w:firstLineChars="0"/>
      </w:pPr>
      <w:r>
        <w:t>选择异议信息点击解答</w:t>
      </w:r>
    </w:p>
    <w:p>
      <w:pPr>
        <w:pStyle w:val="20"/>
        <w:ind w:left="420" w:firstLine="0" w:firstLineChars="0"/>
      </w:pPr>
      <w:r>
        <w:drawing>
          <wp:inline distT="0" distB="0" distL="0" distR="0">
            <wp:extent cx="5274310" cy="2313305"/>
            <wp:effectExtent l="19050" t="0" r="2540" b="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>
      <w:pPr>
        <w:pStyle w:val="20"/>
        <w:numPr>
          <w:ilvl w:val="0"/>
          <w:numId w:val="16"/>
        </w:numPr>
        <w:ind w:firstLineChars="0"/>
        <w:rPr>
          <w:rFonts w:hint="eastAsia"/>
        </w:rPr>
      </w:pPr>
      <w:r>
        <w:t>填写解答信息后点击解答并上传附件后点击解答按钮</w:t>
      </w:r>
    </w:p>
    <w:p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274310" cy="2313305"/>
            <wp:effectExtent l="19050" t="0" r="2540" b="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2313305"/>
            <wp:effectExtent l="19050" t="0" r="2540" b="0"/>
            <wp:docPr id="7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sectPr>
      <w:footerReference r:id="rId6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6973712"/>
    </w:sdtPr>
    <w:sdtContent>
      <w:p>
        <w:pPr>
          <w:pStyle w:val="10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II</w:t>
        </w:r>
        <w:r>
          <w:fldChar w:fldCharType="end"/>
        </w:r>
      </w:p>
    </w:sdtContent>
  </w:sdt>
  <w:p>
    <w:pPr>
      <w:pStyle w:val="10"/>
      <w:pBdr>
        <w:top w:val="single" w:color="auto" w:sz="4" w:space="1"/>
      </w:pBdr>
      <w:ind w:firstLine="420"/>
      <w:jc w:val="right"/>
      <w:rPr>
        <w:sz w:val="21"/>
        <w:szCs w:val="21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329031853"/>
    </w:sdtPr>
    <w:sdtContent>
      <w:p>
        <w:pPr>
          <w:pStyle w:val="10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I</w:t>
        </w:r>
        <w:r>
          <w:fldChar w:fldCharType="end"/>
        </w:r>
      </w:p>
    </w:sdtContent>
  </w:sdt>
  <w:p>
    <w:pPr>
      <w:pStyle w:val="1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  <w:jc w:val="center"/>
    </w:pPr>
    <w:r>
      <w:rPr>
        <w:lang w:val="zh-CN"/>
      </w:rPr>
      <w:fldChar w:fldCharType="begin"/>
    </w:r>
    <w:r>
      <w:rPr>
        <w:lang w:val="zh-CN"/>
      </w:rPr>
      <w:instrText xml:space="preserve">PAGE  \* Arabic  \* MERGEFORMAT</w:instrText>
    </w:r>
    <w:r>
      <w:rPr>
        <w:lang w:val="zh-CN"/>
      </w:rPr>
      <w:fldChar w:fldCharType="separate"/>
    </w:r>
    <w:r>
      <w:rPr>
        <w:lang w:val="zh-CN"/>
      </w:rPr>
      <w:t>31</w:t>
    </w:r>
    <w:r>
      <w:rPr>
        <w:lang w:val="zh-CN"/>
      </w:rPr>
      <w:fldChar w:fldCharType="end"/>
    </w:r>
    <w:r>
      <w:rPr>
        <w:lang w:val="zh-CN"/>
      </w:rPr>
      <w:t xml:space="preserve"> / </w:t>
    </w:r>
    <w:r>
      <w:rPr>
        <w:lang w:val="zh-CN"/>
      </w:rPr>
      <w:fldChar w:fldCharType="begin"/>
    </w:r>
    <w:r>
      <w:rPr>
        <w:lang w:val="zh-CN"/>
      </w:rPr>
      <w:instrText xml:space="preserve"> SECTIONPAGES  \* Arabic </w:instrText>
    </w:r>
    <w:r>
      <w:rPr>
        <w:lang w:val="zh-CN"/>
      </w:rPr>
      <w:fldChar w:fldCharType="separate"/>
    </w:r>
    <w:r>
      <w:rPr>
        <w:lang w:val="zh-CN"/>
      </w:rPr>
      <w:t>31</w:t>
    </w:r>
    <w:r>
      <w:rPr>
        <w:lang w:val="zh-CN"/>
      </w:rPr>
      <w:fldChar w:fldCharType="end"/>
    </w:r>
  </w:p>
  <w:p>
    <w:pPr>
      <w:pStyle w:val="10"/>
      <w:pBdr>
        <w:top w:val="single" w:color="auto" w:sz="4" w:space="1"/>
      </w:pBdr>
      <w:ind w:firstLine="420"/>
      <w:jc w:val="right"/>
      <w:rPr>
        <w:sz w:val="21"/>
        <w:szCs w:val="21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9507191"/>
    <w:multiLevelType w:val="multilevel"/>
    <w:tmpl w:val="09507191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DEC46BC"/>
    <w:multiLevelType w:val="multilevel"/>
    <w:tmpl w:val="0DEC46BC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F3A44A0"/>
    <w:multiLevelType w:val="multilevel"/>
    <w:tmpl w:val="0F3A44A0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21AA2D00"/>
    <w:multiLevelType w:val="multilevel"/>
    <w:tmpl w:val="21AA2D00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30795B0B"/>
    <w:multiLevelType w:val="multilevel"/>
    <w:tmpl w:val="30795B0B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3CC756FE"/>
    <w:multiLevelType w:val="multilevel"/>
    <w:tmpl w:val="3CC756FE"/>
    <w:lvl w:ilvl="0" w:tentative="0">
      <w:start w:val="1"/>
      <w:numFmt w:val="chineseCountingThousand"/>
      <w:lvlText w:val="(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44CD3E16"/>
    <w:multiLevelType w:val="multilevel"/>
    <w:tmpl w:val="44CD3E16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54131ECA"/>
    <w:multiLevelType w:val="multilevel"/>
    <w:tmpl w:val="54131ECA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57341DB9"/>
    <w:multiLevelType w:val="multilevel"/>
    <w:tmpl w:val="57341DB9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5B4F2717"/>
    <w:multiLevelType w:val="multilevel"/>
    <w:tmpl w:val="5B4F2717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62A10B01"/>
    <w:multiLevelType w:val="multilevel"/>
    <w:tmpl w:val="62A10B01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679A4DD6"/>
    <w:multiLevelType w:val="multilevel"/>
    <w:tmpl w:val="679A4DD6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68792F9D"/>
    <w:multiLevelType w:val="multilevel"/>
    <w:tmpl w:val="68792F9D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6A6D3673"/>
    <w:multiLevelType w:val="multilevel"/>
    <w:tmpl w:val="6A6D3673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6CE85E01"/>
    <w:multiLevelType w:val="multilevel"/>
    <w:tmpl w:val="6CE85E01"/>
    <w:lvl w:ilvl="0" w:tentative="0">
      <w:start w:val="1"/>
      <w:numFmt w:val="decimal"/>
      <w:lvlText w:val="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7C1F05A8"/>
    <w:multiLevelType w:val="multilevel"/>
    <w:tmpl w:val="7C1F05A8"/>
    <w:lvl w:ilvl="0" w:tentative="0">
      <w:start w:val="1"/>
      <w:numFmt w:val="chineseCountingThousand"/>
      <w:lvlText w:val="(%1)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2"/>
  </w:num>
  <w:num w:numId="2">
    <w:abstractNumId w:val="7"/>
  </w:num>
  <w:num w:numId="3">
    <w:abstractNumId w:val="4"/>
  </w:num>
  <w:num w:numId="4">
    <w:abstractNumId w:val="14"/>
  </w:num>
  <w:num w:numId="5">
    <w:abstractNumId w:val="6"/>
  </w:num>
  <w:num w:numId="6">
    <w:abstractNumId w:val="10"/>
  </w:num>
  <w:num w:numId="7">
    <w:abstractNumId w:val="2"/>
  </w:num>
  <w:num w:numId="8">
    <w:abstractNumId w:val="3"/>
  </w:num>
  <w:num w:numId="9">
    <w:abstractNumId w:val="9"/>
  </w:num>
  <w:num w:numId="10">
    <w:abstractNumId w:val="5"/>
  </w:num>
  <w:num w:numId="11">
    <w:abstractNumId w:val="0"/>
  </w:num>
  <w:num w:numId="12">
    <w:abstractNumId w:val="1"/>
  </w:num>
  <w:num w:numId="13">
    <w:abstractNumId w:val="8"/>
  </w:num>
  <w:num w:numId="14">
    <w:abstractNumId w:val="15"/>
  </w:num>
  <w:num w:numId="15">
    <w:abstractNumId w:val="11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ZjU5OTNmZTI0ZTlhZWRiMGI3NThlZWE3MDdmNDIifQ=="/>
  </w:docVars>
  <w:rsids>
    <w:rsidRoot w:val="002A0D97"/>
    <w:rsid w:val="00000F06"/>
    <w:rsid w:val="00002F85"/>
    <w:rsid w:val="000042B0"/>
    <w:rsid w:val="0000687B"/>
    <w:rsid w:val="00006D48"/>
    <w:rsid w:val="000122AE"/>
    <w:rsid w:val="00012754"/>
    <w:rsid w:val="00012A1C"/>
    <w:rsid w:val="00013329"/>
    <w:rsid w:val="000148D1"/>
    <w:rsid w:val="00014A9B"/>
    <w:rsid w:val="000158A1"/>
    <w:rsid w:val="00016629"/>
    <w:rsid w:val="00017D87"/>
    <w:rsid w:val="0002068B"/>
    <w:rsid w:val="00020A10"/>
    <w:rsid w:val="000211E7"/>
    <w:rsid w:val="00021E0D"/>
    <w:rsid w:val="0002786A"/>
    <w:rsid w:val="00027F26"/>
    <w:rsid w:val="00030CBF"/>
    <w:rsid w:val="00031F8B"/>
    <w:rsid w:val="00032A04"/>
    <w:rsid w:val="00033149"/>
    <w:rsid w:val="00033BB5"/>
    <w:rsid w:val="000341A4"/>
    <w:rsid w:val="000371A7"/>
    <w:rsid w:val="000376C0"/>
    <w:rsid w:val="00041544"/>
    <w:rsid w:val="00041BA8"/>
    <w:rsid w:val="00043D37"/>
    <w:rsid w:val="00044DA3"/>
    <w:rsid w:val="00045DD8"/>
    <w:rsid w:val="00045FAF"/>
    <w:rsid w:val="00053CF0"/>
    <w:rsid w:val="00055B70"/>
    <w:rsid w:val="0005656F"/>
    <w:rsid w:val="00056C14"/>
    <w:rsid w:val="00056F5C"/>
    <w:rsid w:val="00057A33"/>
    <w:rsid w:val="00060E18"/>
    <w:rsid w:val="0006106D"/>
    <w:rsid w:val="000611BF"/>
    <w:rsid w:val="00061A85"/>
    <w:rsid w:val="00064921"/>
    <w:rsid w:val="000754AD"/>
    <w:rsid w:val="00075C21"/>
    <w:rsid w:val="00077638"/>
    <w:rsid w:val="00081A2E"/>
    <w:rsid w:val="00085CAF"/>
    <w:rsid w:val="000873D6"/>
    <w:rsid w:val="00087683"/>
    <w:rsid w:val="000918F9"/>
    <w:rsid w:val="00092B00"/>
    <w:rsid w:val="00093182"/>
    <w:rsid w:val="000940EF"/>
    <w:rsid w:val="00094614"/>
    <w:rsid w:val="00094AB0"/>
    <w:rsid w:val="0009513A"/>
    <w:rsid w:val="000A30BA"/>
    <w:rsid w:val="000A39B7"/>
    <w:rsid w:val="000A5B17"/>
    <w:rsid w:val="000A62E7"/>
    <w:rsid w:val="000A71F8"/>
    <w:rsid w:val="000A76F8"/>
    <w:rsid w:val="000A7BB8"/>
    <w:rsid w:val="000B1561"/>
    <w:rsid w:val="000B290D"/>
    <w:rsid w:val="000B573B"/>
    <w:rsid w:val="000C10A9"/>
    <w:rsid w:val="000C1AC0"/>
    <w:rsid w:val="000C4250"/>
    <w:rsid w:val="000C4FEC"/>
    <w:rsid w:val="000C7923"/>
    <w:rsid w:val="000C7A02"/>
    <w:rsid w:val="000D1CBF"/>
    <w:rsid w:val="000D2A2D"/>
    <w:rsid w:val="000D2C4D"/>
    <w:rsid w:val="000D3F48"/>
    <w:rsid w:val="000D43AB"/>
    <w:rsid w:val="000D792D"/>
    <w:rsid w:val="000E0326"/>
    <w:rsid w:val="000E05A3"/>
    <w:rsid w:val="000E0D2B"/>
    <w:rsid w:val="000E55EA"/>
    <w:rsid w:val="000E5BD3"/>
    <w:rsid w:val="000F4364"/>
    <w:rsid w:val="00101CCC"/>
    <w:rsid w:val="001042CF"/>
    <w:rsid w:val="00104454"/>
    <w:rsid w:val="0010593B"/>
    <w:rsid w:val="001070B8"/>
    <w:rsid w:val="0010722B"/>
    <w:rsid w:val="00107487"/>
    <w:rsid w:val="00114AEC"/>
    <w:rsid w:val="0011756A"/>
    <w:rsid w:val="00120B65"/>
    <w:rsid w:val="00124982"/>
    <w:rsid w:val="0012676E"/>
    <w:rsid w:val="00133B87"/>
    <w:rsid w:val="001346AD"/>
    <w:rsid w:val="00134AC2"/>
    <w:rsid w:val="00135D2E"/>
    <w:rsid w:val="00136D36"/>
    <w:rsid w:val="00137314"/>
    <w:rsid w:val="00137A53"/>
    <w:rsid w:val="00137C04"/>
    <w:rsid w:val="00141025"/>
    <w:rsid w:val="001460F6"/>
    <w:rsid w:val="00146592"/>
    <w:rsid w:val="001478AC"/>
    <w:rsid w:val="00150732"/>
    <w:rsid w:val="001550DC"/>
    <w:rsid w:val="00155DD2"/>
    <w:rsid w:val="0015624A"/>
    <w:rsid w:val="00160B92"/>
    <w:rsid w:val="00171C79"/>
    <w:rsid w:val="00173AA6"/>
    <w:rsid w:val="00174E1C"/>
    <w:rsid w:val="00181322"/>
    <w:rsid w:val="001813DB"/>
    <w:rsid w:val="001818C6"/>
    <w:rsid w:val="001820DF"/>
    <w:rsid w:val="00182B39"/>
    <w:rsid w:val="001908DE"/>
    <w:rsid w:val="00194EB2"/>
    <w:rsid w:val="001958E4"/>
    <w:rsid w:val="001A1E7D"/>
    <w:rsid w:val="001A46E6"/>
    <w:rsid w:val="001A730B"/>
    <w:rsid w:val="001B14B8"/>
    <w:rsid w:val="001B248F"/>
    <w:rsid w:val="001B274F"/>
    <w:rsid w:val="001B5540"/>
    <w:rsid w:val="001B627D"/>
    <w:rsid w:val="001B6ABC"/>
    <w:rsid w:val="001C1731"/>
    <w:rsid w:val="001C36D9"/>
    <w:rsid w:val="001C4C87"/>
    <w:rsid w:val="001C5597"/>
    <w:rsid w:val="001C5C14"/>
    <w:rsid w:val="001C60C6"/>
    <w:rsid w:val="001C6439"/>
    <w:rsid w:val="001C68E0"/>
    <w:rsid w:val="001D44C7"/>
    <w:rsid w:val="001D47F7"/>
    <w:rsid w:val="001D5661"/>
    <w:rsid w:val="001E1FC4"/>
    <w:rsid w:val="001E5499"/>
    <w:rsid w:val="001E5792"/>
    <w:rsid w:val="001E6C19"/>
    <w:rsid w:val="001E6C30"/>
    <w:rsid w:val="001F55C5"/>
    <w:rsid w:val="001F66B1"/>
    <w:rsid w:val="001F7993"/>
    <w:rsid w:val="001F7D44"/>
    <w:rsid w:val="00201666"/>
    <w:rsid w:val="0020337E"/>
    <w:rsid w:val="00204A85"/>
    <w:rsid w:val="00205CE4"/>
    <w:rsid w:val="002060FB"/>
    <w:rsid w:val="00206487"/>
    <w:rsid w:val="00206A6B"/>
    <w:rsid w:val="00206AC5"/>
    <w:rsid w:val="00206DE0"/>
    <w:rsid w:val="00207EB0"/>
    <w:rsid w:val="00212A7E"/>
    <w:rsid w:val="00213859"/>
    <w:rsid w:val="00214F57"/>
    <w:rsid w:val="002172C9"/>
    <w:rsid w:val="00220F5A"/>
    <w:rsid w:val="00222590"/>
    <w:rsid w:val="002249C5"/>
    <w:rsid w:val="002251A1"/>
    <w:rsid w:val="0022564D"/>
    <w:rsid w:val="00225955"/>
    <w:rsid w:val="00226935"/>
    <w:rsid w:val="0022754F"/>
    <w:rsid w:val="002311A1"/>
    <w:rsid w:val="00232534"/>
    <w:rsid w:val="00233239"/>
    <w:rsid w:val="00234D08"/>
    <w:rsid w:val="00236124"/>
    <w:rsid w:val="00236331"/>
    <w:rsid w:val="00240D50"/>
    <w:rsid w:val="00242DCA"/>
    <w:rsid w:val="00243AF3"/>
    <w:rsid w:val="0024653B"/>
    <w:rsid w:val="00251F44"/>
    <w:rsid w:val="0025337A"/>
    <w:rsid w:val="00254123"/>
    <w:rsid w:val="0025440F"/>
    <w:rsid w:val="002556EB"/>
    <w:rsid w:val="00256292"/>
    <w:rsid w:val="002621D3"/>
    <w:rsid w:val="0026507A"/>
    <w:rsid w:val="00265667"/>
    <w:rsid w:val="00266409"/>
    <w:rsid w:val="002679FE"/>
    <w:rsid w:val="00271E63"/>
    <w:rsid w:val="00274F09"/>
    <w:rsid w:val="00277385"/>
    <w:rsid w:val="0028053A"/>
    <w:rsid w:val="00280C51"/>
    <w:rsid w:val="00281243"/>
    <w:rsid w:val="002813A1"/>
    <w:rsid w:val="00281A69"/>
    <w:rsid w:val="00283575"/>
    <w:rsid w:val="002850CF"/>
    <w:rsid w:val="0028550B"/>
    <w:rsid w:val="00297D06"/>
    <w:rsid w:val="002A03F5"/>
    <w:rsid w:val="002A0D97"/>
    <w:rsid w:val="002A3FB1"/>
    <w:rsid w:val="002A4C15"/>
    <w:rsid w:val="002A651B"/>
    <w:rsid w:val="002A6746"/>
    <w:rsid w:val="002B05B6"/>
    <w:rsid w:val="002B0BAC"/>
    <w:rsid w:val="002B7423"/>
    <w:rsid w:val="002C3AFF"/>
    <w:rsid w:val="002C5466"/>
    <w:rsid w:val="002C6946"/>
    <w:rsid w:val="002D215C"/>
    <w:rsid w:val="002D2CAD"/>
    <w:rsid w:val="002D33F1"/>
    <w:rsid w:val="002D7C5E"/>
    <w:rsid w:val="002E1154"/>
    <w:rsid w:val="002E178E"/>
    <w:rsid w:val="002E1B2D"/>
    <w:rsid w:val="002E237B"/>
    <w:rsid w:val="002E2C45"/>
    <w:rsid w:val="002E2DC7"/>
    <w:rsid w:val="002E62FE"/>
    <w:rsid w:val="002E7AA1"/>
    <w:rsid w:val="002F039E"/>
    <w:rsid w:val="002F1F42"/>
    <w:rsid w:val="002F2388"/>
    <w:rsid w:val="002F2864"/>
    <w:rsid w:val="002F372B"/>
    <w:rsid w:val="002F5257"/>
    <w:rsid w:val="00302F79"/>
    <w:rsid w:val="00303306"/>
    <w:rsid w:val="003077E3"/>
    <w:rsid w:val="00310F3E"/>
    <w:rsid w:val="00311FF1"/>
    <w:rsid w:val="00315D4C"/>
    <w:rsid w:val="003172EE"/>
    <w:rsid w:val="0031776C"/>
    <w:rsid w:val="00321C40"/>
    <w:rsid w:val="0032668C"/>
    <w:rsid w:val="00331A1F"/>
    <w:rsid w:val="00333296"/>
    <w:rsid w:val="00333448"/>
    <w:rsid w:val="00333899"/>
    <w:rsid w:val="00334041"/>
    <w:rsid w:val="00334BDE"/>
    <w:rsid w:val="0034023A"/>
    <w:rsid w:val="0034045F"/>
    <w:rsid w:val="00341A38"/>
    <w:rsid w:val="00343DBB"/>
    <w:rsid w:val="0034416A"/>
    <w:rsid w:val="003447F2"/>
    <w:rsid w:val="00345A0C"/>
    <w:rsid w:val="00347CBC"/>
    <w:rsid w:val="00351F26"/>
    <w:rsid w:val="00352271"/>
    <w:rsid w:val="003527F1"/>
    <w:rsid w:val="0035285A"/>
    <w:rsid w:val="003553A4"/>
    <w:rsid w:val="003609F7"/>
    <w:rsid w:val="00360AE4"/>
    <w:rsid w:val="003615FB"/>
    <w:rsid w:val="00361771"/>
    <w:rsid w:val="003619B3"/>
    <w:rsid w:val="003676CD"/>
    <w:rsid w:val="00367F01"/>
    <w:rsid w:val="00371DE2"/>
    <w:rsid w:val="003741BC"/>
    <w:rsid w:val="0037559C"/>
    <w:rsid w:val="003765C1"/>
    <w:rsid w:val="00386529"/>
    <w:rsid w:val="00387222"/>
    <w:rsid w:val="00391B1B"/>
    <w:rsid w:val="00393EA6"/>
    <w:rsid w:val="00394DD5"/>
    <w:rsid w:val="003A22F4"/>
    <w:rsid w:val="003A3CBF"/>
    <w:rsid w:val="003A4437"/>
    <w:rsid w:val="003A6B0E"/>
    <w:rsid w:val="003A6B2F"/>
    <w:rsid w:val="003A7816"/>
    <w:rsid w:val="003B4034"/>
    <w:rsid w:val="003B634F"/>
    <w:rsid w:val="003B6581"/>
    <w:rsid w:val="003C3A3C"/>
    <w:rsid w:val="003C52B5"/>
    <w:rsid w:val="003D0C5D"/>
    <w:rsid w:val="003D0EA9"/>
    <w:rsid w:val="003D3092"/>
    <w:rsid w:val="003D4D89"/>
    <w:rsid w:val="003D56E3"/>
    <w:rsid w:val="003D59E4"/>
    <w:rsid w:val="003D5C0E"/>
    <w:rsid w:val="003D646E"/>
    <w:rsid w:val="003D712F"/>
    <w:rsid w:val="003E0B66"/>
    <w:rsid w:val="003E121D"/>
    <w:rsid w:val="003E227C"/>
    <w:rsid w:val="003E32BC"/>
    <w:rsid w:val="003E389D"/>
    <w:rsid w:val="003E633B"/>
    <w:rsid w:val="003F0E56"/>
    <w:rsid w:val="003F0E9C"/>
    <w:rsid w:val="003F1FD2"/>
    <w:rsid w:val="003F2384"/>
    <w:rsid w:val="003F4D50"/>
    <w:rsid w:val="003F67E5"/>
    <w:rsid w:val="00401334"/>
    <w:rsid w:val="004028E1"/>
    <w:rsid w:val="00404041"/>
    <w:rsid w:val="004042DC"/>
    <w:rsid w:val="00406D7F"/>
    <w:rsid w:val="00407454"/>
    <w:rsid w:val="004079A5"/>
    <w:rsid w:val="00410864"/>
    <w:rsid w:val="004112E6"/>
    <w:rsid w:val="00413AF3"/>
    <w:rsid w:val="00414B09"/>
    <w:rsid w:val="00414B48"/>
    <w:rsid w:val="004174CC"/>
    <w:rsid w:val="004176FB"/>
    <w:rsid w:val="004202D0"/>
    <w:rsid w:val="00421A28"/>
    <w:rsid w:val="00422A80"/>
    <w:rsid w:val="004239E1"/>
    <w:rsid w:val="00425B7C"/>
    <w:rsid w:val="0042726D"/>
    <w:rsid w:val="00430701"/>
    <w:rsid w:val="00431B18"/>
    <w:rsid w:val="004345B3"/>
    <w:rsid w:val="00434C78"/>
    <w:rsid w:val="004368F2"/>
    <w:rsid w:val="00437950"/>
    <w:rsid w:val="0044157D"/>
    <w:rsid w:val="004439B2"/>
    <w:rsid w:val="004528F0"/>
    <w:rsid w:val="0045450B"/>
    <w:rsid w:val="0045521B"/>
    <w:rsid w:val="00456A5B"/>
    <w:rsid w:val="00457353"/>
    <w:rsid w:val="00461A54"/>
    <w:rsid w:val="00465B79"/>
    <w:rsid w:val="004704F2"/>
    <w:rsid w:val="00470DE4"/>
    <w:rsid w:val="00471AE2"/>
    <w:rsid w:val="00472F32"/>
    <w:rsid w:val="004749AD"/>
    <w:rsid w:val="00477D77"/>
    <w:rsid w:val="00481C11"/>
    <w:rsid w:val="00482673"/>
    <w:rsid w:val="004833A2"/>
    <w:rsid w:val="00485603"/>
    <w:rsid w:val="00485A4C"/>
    <w:rsid w:val="00485EDD"/>
    <w:rsid w:val="00493DFC"/>
    <w:rsid w:val="0049476E"/>
    <w:rsid w:val="004968D6"/>
    <w:rsid w:val="004970DE"/>
    <w:rsid w:val="004A3322"/>
    <w:rsid w:val="004A4377"/>
    <w:rsid w:val="004A4945"/>
    <w:rsid w:val="004A5288"/>
    <w:rsid w:val="004A70D8"/>
    <w:rsid w:val="004A7117"/>
    <w:rsid w:val="004A76AA"/>
    <w:rsid w:val="004A79DB"/>
    <w:rsid w:val="004B2F9F"/>
    <w:rsid w:val="004B2FFE"/>
    <w:rsid w:val="004B43BC"/>
    <w:rsid w:val="004B4431"/>
    <w:rsid w:val="004B49AB"/>
    <w:rsid w:val="004B645E"/>
    <w:rsid w:val="004B7CBC"/>
    <w:rsid w:val="004C1000"/>
    <w:rsid w:val="004C2EB9"/>
    <w:rsid w:val="004C4EC4"/>
    <w:rsid w:val="004C6249"/>
    <w:rsid w:val="004C7151"/>
    <w:rsid w:val="004D108F"/>
    <w:rsid w:val="004D3ADC"/>
    <w:rsid w:val="004D4AD8"/>
    <w:rsid w:val="004E338C"/>
    <w:rsid w:val="004E45C6"/>
    <w:rsid w:val="004E4F90"/>
    <w:rsid w:val="004E6FD8"/>
    <w:rsid w:val="004F1518"/>
    <w:rsid w:val="004F3E18"/>
    <w:rsid w:val="004F3EE2"/>
    <w:rsid w:val="004F6C40"/>
    <w:rsid w:val="00503E95"/>
    <w:rsid w:val="00504D22"/>
    <w:rsid w:val="00507C43"/>
    <w:rsid w:val="0051025F"/>
    <w:rsid w:val="00510E94"/>
    <w:rsid w:val="00516EE1"/>
    <w:rsid w:val="005176D7"/>
    <w:rsid w:val="00517BA8"/>
    <w:rsid w:val="005209B4"/>
    <w:rsid w:val="005210B9"/>
    <w:rsid w:val="00523257"/>
    <w:rsid w:val="00524653"/>
    <w:rsid w:val="005271ED"/>
    <w:rsid w:val="00530259"/>
    <w:rsid w:val="0053034D"/>
    <w:rsid w:val="0053183A"/>
    <w:rsid w:val="005333DA"/>
    <w:rsid w:val="00533D10"/>
    <w:rsid w:val="00534F97"/>
    <w:rsid w:val="00535848"/>
    <w:rsid w:val="00535C8F"/>
    <w:rsid w:val="00535EF8"/>
    <w:rsid w:val="00541494"/>
    <w:rsid w:val="005447AF"/>
    <w:rsid w:val="005469F3"/>
    <w:rsid w:val="00546C78"/>
    <w:rsid w:val="005501C2"/>
    <w:rsid w:val="00550E11"/>
    <w:rsid w:val="00551BCF"/>
    <w:rsid w:val="00553664"/>
    <w:rsid w:val="0055691B"/>
    <w:rsid w:val="00556E17"/>
    <w:rsid w:val="00560C25"/>
    <w:rsid w:val="00570499"/>
    <w:rsid w:val="00570A07"/>
    <w:rsid w:val="0057225E"/>
    <w:rsid w:val="005762D9"/>
    <w:rsid w:val="00576814"/>
    <w:rsid w:val="00576E86"/>
    <w:rsid w:val="00577BED"/>
    <w:rsid w:val="005807C4"/>
    <w:rsid w:val="00581DB3"/>
    <w:rsid w:val="00581E40"/>
    <w:rsid w:val="00584EA0"/>
    <w:rsid w:val="00585511"/>
    <w:rsid w:val="00586DBD"/>
    <w:rsid w:val="00587665"/>
    <w:rsid w:val="005878A9"/>
    <w:rsid w:val="00590802"/>
    <w:rsid w:val="00591B3E"/>
    <w:rsid w:val="005A1958"/>
    <w:rsid w:val="005A38F6"/>
    <w:rsid w:val="005A3EAA"/>
    <w:rsid w:val="005B120C"/>
    <w:rsid w:val="005B1B21"/>
    <w:rsid w:val="005B1E0D"/>
    <w:rsid w:val="005B37F3"/>
    <w:rsid w:val="005B61F5"/>
    <w:rsid w:val="005B6E05"/>
    <w:rsid w:val="005B7B1E"/>
    <w:rsid w:val="005C74BF"/>
    <w:rsid w:val="005D1184"/>
    <w:rsid w:val="005D2EB4"/>
    <w:rsid w:val="005D401F"/>
    <w:rsid w:val="005D44AA"/>
    <w:rsid w:val="005D5A58"/>
    <w:rsid w:val="005E005E"/>
    <w:rsid w:val="005E0C07"/>
    <w:rsid w:val="005E0D08"/>
    <w:rsid w:val="005E2C33"/>
    <w:rsid w:val="005E7B10"/>
    <w:rsid w:val="005F020F"/>
    <w:rsid w:val="005F1805"/>
    <w:rsid w:val="005F33D7"/>
    <w:rsid w:val="005F7559"/>
    <w:rsid w:val="00600684"/>
    <w:rsid w:val="00601921"/>
    <w:rsid w:val="00606E78"/>
    <w:rsid w:val="00607847"/>
    <w:rsid w:val="00607FBE"/>
    <w:rsid w:val="006113D4"/>
    <w:rsid w:val="0061277F"/>
    <w:rsid w:val="00614FD1"/>
    <w:rsid w:val="00616789"/>
    <w:rsid w:val="00616815"/>
    <w:rsid w:val="006205C7"/>
    <w:rsid w:val="00623882"/>
    <w:rsid w:val="0062611A"/>
    <w:rsid w:val="00626830"/>
    <w:rsid w:val="00627A72"/>
    <w:rsid w:val="00631DE2"/>
    <w:rsid w:val="00634336"/>
    <w:rsid w:val="0063453B"/>
    <w:rsid w:val="006401F8"/>
    <w:rsid w:val="00640383"/>
    <w:rsid w:val="00643E6E"/>
    <w:rsid w:val="0065206D"/>
    <w:rsid w:val="006567D6"/>
    <w:rsid w:val="00661F9E"/>
    <w:rsid w:val="0066329E"/>
    <w:rsid w:val="00667837"/>
    <w:rsid w:val="006679C2"/>
    <w:rsid w:val="006713C1"/>
    <w:rsid w:val="006724F4"/>
    <w:rsid w:val="00674027"/>
    <w:rsid w:val="00675000"/>
    <w:rsid w:val="00676518"/>
    <w:rsid w:val="0068322A"/>
    <w:rsid w:val="00683B38"/>
    <w:rsid w:val="00683FE7"/>
    <w:rsid w:val="00684D3A"/>
    <w:rsid w:val="0068603E"/>
    <w:rsid w:val="00686340"/>
    <w:rsid w:val="00690619"/>
    <w:rsid w:val="006936A1"/>
    <w:rsid w:val="00696698"/>
    <w:rsid w:val="00697835"/>
    <w:rsid w:val="006A38B6"/>
    <w:rsid w:val="006A3C78"/>
    <w:rsid w:val="006A4FB0"/>
    <w:rsid w:val="006A5307"/>
    <w:rsid w:val="006A6A9F"/>
    <w:rsid w:val="006A6E33"/>
    <w:rsid w:val="006A6E87"/>
    <w:rsid w:val="006B7E15"/>
    <w:rsid w:val="006B7E6A"/>
    <w:rsid w:val="006C0988"/>
    <w:rsid w:val="006C2634"/>
    <w:rsid w:val="006C6BC7"/>
    <w:rsid w:val="006D4E9B"/>
    <w:rsid w:val="006D7EC4"/>
    <w:rsid w:val="006E00AA"/>
    <w:rsid w:val="006E0986"/>
    <w:rsid w:val="006E2109"/>
    <w:rsid w:val="006E2A8F"/>
    <w:rsid w:val="006E35B2"/>
    <w:rsid w:val="006E6A38"/>
    <w:rsid w:val="006E7E04"/>
    <w:rsid w:val="006F16DC"/>
    <w:rsid w:val="006F2C9B"/>
    <w:rsid w:val="006F2E86"/>
    <w:rsid w:val="006F489A"/>
    <w:rsid w:val="006F4E3C"/>
    <w:rsid w:val="006F7AEB"/>
    <w:rsid w:val="006F7B2B"/>
    <w:rsid w:val="00701762"/>
    <w:rsid w:val="00712380"/>
    <w:rsid w:val="00713F93"/>
    <w:rsid w:val="00716043"/>
    <w:rsid w:val="00716F53"/>
    <w:rsid w:val="0071757D"/>
    <w:rsid w:val="007221FA"/>
    <w:rsid w:val="00725FC2"/>
    <w:rsid w:val="007262CF"/>
    <w:rsid w:val="00732911"/>
    <w:rsid w:val="00735002"/>
    <w:rsid w:val="00743C7A"/>
    <w:rsid w:val="0075458D"/>
    <w:rsid w:val="00760E1B"/>
    <w:rsid w:val="00761DAD"/>
    <w:rsid w:val="007639D8"/>
    <w:rsid w:val="007646D7"/>
    <w:rsid w:val="00765CC8"/>
    <w:rsid w:val="00765CD2"/>
    <w:rsid w:val="007726CE"/>
    <w:rsid w:val="007737CC"/>
    <w:rsid w:val="00773ABF"/>
    <w:rsid w:val="00776BD3"/>
    <w:rsid w:val="00777365"/>
    <w:rsid w:val="00782D89"/>
    <w:rsid w:val="00786A49"/>
    <w:rsid w:val="00786EFF"/>
    <w:rsid w:val="00787889"/>
    <w:rsid w:val="00787A44"/>
    <w:rsid w:val="00790088"/>
    <w:rsid w:val="00791BF0"/>
    <w:rsid w:val="00794A5B"/>
    <w:rsid w:val="00795141"/>
    <w:rsid w:val="007A06BA"/>
    <w:rsid w:val="007A67FB"/>
    <w:rsid w:val="007A6811"/>
    <w:rsid w:val="007B3A2A"/>
    <w:rsid w:val="007B4DA3"/>
    <w:rsid w:val="007C0DBD"/>
    <w:rsid w:val="007C218A"/>
    <w:rsid w:val="007C2349"/>
    <w:rsid w:val="007C39C9"/>
    <w:rsid w:val="007C4E49"/>
    <w:rsid w:val="007C4FD2"/>
    <w:rsid w:val="007C51B1"/>
    <w:rsid w:val="007C7D2A"/>
    <w:rsid w:val="007D12DD"/>
    <w:rsid w:val="007D3334"/>
    <w:rsid w:val="007D3BB8"/>
    <w:rsid w:val="007D4712"/>
    <w:rsid w:val="007D673D"/>
    <w:rsid w:val="007E0DFF"/>
    <w:rsid w:val="007E1591"/>
    <w:rsid w:val="007E4E59"/>
    <w:rsid w:val="007E5CBF"/>
    <w:rsid w:val="007E6103"/>
    <w:rsid w:val="007E6C9B"/>
    <w:rsid w:val="007F0223"/>
    <w:rsid w:val="007F163D"/>
    <w:rsid w:val="007F1F30"/>
    <w:rsid w:val="007F3615"/>
    <w:rsid w:val="007F5013"/>
    <w:rsid w:val="007F5217"/>
    <w:rsid w:val="007F5D23"/>
    <w:rsid w:val="0080073C"/>
    <w:rsid w:val="008020ED"/>
    <w:rsid w:val="008026F4"/>
    <w:rsid w:val="00804BD3"/>
    <w:rsid w:val="008071B3"/>
    <w:rsid w:val="00816622"/>
    <w:rsid w:val="0081697B"/>
    <w:rsid w:val="00816EBA"/>
    <w:rsid w:val="00821C24"/>
    <w:rsid w:val="008237A4"/>
    <w:rsid w:val="00825DA6"/>
    <w:rsid w:val="008260FA"/>
    <w:rsid w:val="00831DFC"/>
    <w:rsid w:val="00832589"/>
    <w:rsid w:val="00833D27"/>
    <w:rsid w:val="00835189"/>
    <w:rsid w:val="008407B9"/>
    <w:rsid w:val="00840F3F"/>
    <w:rsid w:val="00842065"/>
    <w:rsid w:val="00842CF3"/>
    <w:rsid w:val="00845F5A"/>
    <w:rsid w:val="00847543"/>
    <w:rsid w:val="00847CCF"/>
    <w:rsid w:val="00847F85"/>
    <w:rsid w:val="00854C5D"/>
    <w:rsid w:val="0085560B"/>
    <w:rsid w:val="00860F06"/>
    <w:rsid w:val="00862C05"/>
    <w:rsid w:val="008632F5"/>
    <w:rsid w:val="00864437"/>
    <w:rsid w:val="008651AD"/>
    <w:rsid w:val="0086568E"/>
    <w:rsid w:val="00870442"/>
    <w:rsid w:val="0087294A"/>
    <w:rsid w:val="0087347B"/>
    <w:rsid w:val="008764AA"/>
    <w:rsid w:val="008766D0"/>
    <w:rsid w:val="008774C6"/>
    <w:rsid w:val="008808B3"/>
    <w:rsid w:val="00881D61"/>
    <w:rsid w:val="00884767"/>
    <w:rsid w:val="0088543E"/>
    <w:rsid w:val="00885907"/>
    <w:rsid w:val="008904B9"/>
    <w:rsid w:val="00891AFB"/>
    <w:rsid w:val="0089263A"/>
    <w:rsid w:val="00893C40"/>
    <w:rsid w:val="00893D5B"/>
    <w:rsid w:val="00894050"/>
    <w:rsid w:val="00897C71"/>
    <w:rsid w:val="008A05A3"/>
    <w:rsid w:val="008A0B81"/>
    <w:rsid w:val="008A1BEF"/>
    <w:rsid w:val="008A41B7"/>
    <w:rsid w:val="008A6311"/>
    <w:rsid w:val="008A642C"/>
    <w:rsid w:val="008A7C87"/>
    <w:rsid w:val="008B00A3"/>
    <w:rsid w:val="008B104E"/>
    <w:rsid w:val="008B6331"/>
    <w:rsid w:val="008B79E1"/>
    <w:rsid w:val="008C0B61"/>
    <w:rsid w:val="008C1F88"/>
    <w:rsid w:val="008C42D9"/>
    <w:rsid w:val="008C6D90"/>
    <w:rsid w:val="008C7352"/>
    <w:rsid w:val="008C7D77"/>
    <w:rsid w:val="008D20B4"/>
    <w:rsid w:val="008D2C8F"/>
    <w:rsid w:val="008D3CCA"/>
    <w:rsid w:val="008D3EB1"/>
    <w:rsid w:val="008D7DD7"/>
    <w:rsid w:val="008E06FD"/>
    <w:rsid w:val="008E24C6"/>
    <w:rsid w:val="008E3708"/>
    <w:rsid w:val="008E62DD"/>
    <w:rsid w:val="008F12C9"/>
    <w:rsid w:val="008F2C3C"/>
    <w:rsid w:val="008F38BC"/>
    <w:rsid w:val="008F5BC0"/>
    <w:rsid w:val="008F5BE5"/>
    <w:rsid w:val="008F7358"/>
    <w:rsid w:val="008F7ACE"/>
    <w:rsid w:val="00901D60"/>
    <w:rsid w:val="0090536C"/>
    <w:rsid w:val="0090633D"/>
    <w:rsid w:val="00907F55"/>
    <w:rsid w:val="00914127"/>
    <w:rsid w:val="00914249"/>
    <w:rsid w:val="009161D3"/>
    <w:rsid w:val="00916B64"/>
    <w:rsid w:val="009208B9"/>
    <w:rsid w:val="00925AC5"/>
    <w:rsid w:val="00925CB5"/>
    <w:rsid w:val="009266E8"/>
    <w:rsid w:val="009270CB"/>
    <w:rsid w:val="009323D5"/>
    <w:rsid w:val="009444F2"/>
    <w:rsid w:val="00944F43"/>
    <w:rsid w:val="00946221"/>
    <w:rsid w:val="00946F87"/>
    <w:rsid w:val="00954379"/>
    <w:rsid w:val="00954C85"/>
    <w:rsid w:val="00955979"/>
    <w:rsid w:val="00963F1C"/>
    <w:rsid w:val="00965363"/>
    <w:rsid w:val="0096598A"/>
    <w:rsid w:val="00965BA7"/>
    <w:rsid w:val="00966AFB"/>
    <w:rsid w:val="00966E1E"/>
    <w:rsid w:val="00970559"/>
    <w:rsid w:val="00970F88"/>
    <w:rsid w:val="009728EA"/>
    <w:rsid w:val="009771E1"/>
    <w:rsid w:val="0097798C"/>
    <w:rsid w:val="009803B7"/>
    <w:rsid w:val="00980E32"/>
    <w:rsid w:val="00981B81"/>
    <w:rsid w:val="00982352"/>
    <w:rsid w:val="00983C2C"/>
    <w:rsid w:val="0098702A"/>
    <w:rsid w:val="0098773F"/>
    <w:rsid w:val="00990D5A"/>
    <w:rsid w:val="00990DFB"/>
    <w:rsid w:val="00992F13"/>
    <w:rsid w:val="009A097C"/>
    <w:rsid w:val="009A4582"/>
    <w:rsid w:val="009A5BE4"/>
    <w:rsid w:val="009A660B"/>
    <w:rsid w:val="009A7D3C"/>
    <w:rsid w:val="009B4A45"/>
    <w:rsid w:val="009B6587"/>
    <w:rsid w:val="009B76ED"/>
    <w:rsid w:val="009C64EC"/>
    <w:rsid w:val="009D27C0"/>
    <w:rsid w:val="009D3120"/>
    <w:rsid w:val="009D6130"/>
    <w:rsid w:val="009D74E9"/>
    <w:rsid w:val="009E1BA0"/>
    <w:rsid w:val="009E4E1F"/>
    <w:rsid w:val="009E5A7C"/>
    <w:rsid w:val="009F5A7B"/>
    <w:rsid w:val="009F5FD2"/>
    <w:rsid w:val="009F684F"/>
    <w:rsid w:val="00A031FF"/>
    <w:rsid w:val="00A037D6"/>
    <w:rsid w:val="00A04AED"/>
    <w:rsid w:val="00A1002D"/>
    <w:rsid w:val="00A10936"/>
    <w:rsid w:val="00A1334E"/>
    <w:rsid w:val="00A174D2"/>
    <w:rsid w:val="00A200EA"/>
    <w:rsid w:val="00A21D3D"/>
    <w:rsid w:val="00A239CE"/>
    <w:rsid w:val="00A251CD"/>
    <w:rsid w:val="00A32B18"/>
    <w:rsid w:val="00A36283"/>
    <w:rsid w:val="00A37E07"/>
    <w:rsid w:val="00A40DE7"/>
    <w:rsid w:val="00A42547"/>
    <w:rsid w:val="00A439F0"/>
    <w:rsid w:val="00A4474A"/>
    <w:rsid w:val="00A507BC"/>
    <w:rsid w:val="00A53657"/>
    <w:rsid w:val="00A53B89"/>
    <w:rsid w:val="00A53F91"/>
    <w:rsid w:val="00A555CD"/>
    <w:rsid w:val="00A57F24"/>
    <w:rsid w:val="00A60957"/>
    <w:rsid w:val="00A61C90"/>
    <w:rsid w:val="00A63686"/>
    <w:rsid w:val="00A6690F"/>
    <w:rsid w:val="00A70793"/>
    <w:rsid w:val="00A70BCB"/>
    <w:rsid w:val="00A713B0"/>
    <w:rsid w:val="00A7282A"/>
    <w:rsid w:val="00A7532A"/>
    <w:rsid w:val="00A779A4"/>
    <w:rsid w:val="00A8316F"/>
    <w:rsid w:val="00A84FA8"/>
    <w:rsid w:val="00A85E02"/>
    <w:rsid w:val="00A9051B"/>
    <w:rsid w:val="00A90B1A"/>
    <w:rsid w:val="00A92921"/>
    <w:rsid w:val="00A940EE"/>
    <w:rsid w:val="00A9473F"/>
    <w:rsid w:val="00AA2DC9"/>
    <w:rsid w:val="00AA508D"/>
    <w:rsid w:val="00AA67A5"/>
    <w:rsid w:val="00AA6ED0"/>
    <w:rsid w:val="00AA7896"/>
    <w:rsid w:val="00AB10E6"/>
    <w:rsid w:val="00AB1768"/>
    <w:rsid w:val="00AB17DF"/>
    <w:rsid w:val="00AC0DE3"/>
    <w:rsid w:val="00AC167C"/>
    <w:rsid w:val="00AC2868"/>
    <w:rsid w:val="00AC3D49"/>
    <w:rsid w:val="00AC439C"/>
    <w:rsid w:val="00AC59CE"/>
    <w:rsid w:val="00AD41ED"/>
    <w:rsid w:val="00AD4A6B"/>
    <w:rsid w:val="00AD6361"/>
    <w:rsid w:val="00AE3737"/>
    <w:rsid w:val="00AE39A9"/>
    <w:rsid w:val="00AE475E"/>
    <w:rsid w:val="00AE56FE"/>
    <w:rsid w:val="00AF006C"/>
    <w:rsid w:val="00AF23AE"/>
    <w:rsid w:val="00AF31C2"/>
    <w:rsid w:val="00AF43D0"/>
    <w:rsid w:val="00AF4CD1"/>
    <w:rsid w:val="00AF720D"/>
    <w:rsid w:val="00AF7AC1"/>
    <w:rsid w:val="00B02558"/>
    <w:rsid w:val="00B02E0C"/>
    <w:rsid w:val="00B06580"/>
    <w:rsid w:val="00B07613"/>
    <w:rsid w:val="00B07B2C"/>
    <w:rsid w:val="00B1025C"/>
    <w:rsid w:val="00B1151F"/>
    <w:rsid w:val="00B14D83"/>
    <w:rsid w:val="00B150A0"/>
    <w:rsid w:val="00B15F2F"/>
    <w:rsid w:val="00B174CA"/>
    <w:rsid w:val="00B205ED"/>
    <w:rsid w:val="00B2158F"/>
    <w:rsid w:val="00B21615"/>
    <w:rsid w:val="00B226D3"/>
    <w:rsid w:val="00B23576"/>
    <w:rsid w:val="00B24B12"/>
    <w:rsid w:val="00B30238"/>
    <w:rsid w:val="00B30DE6"/>
    <w:rsid w:val="00B30E0C"/>
    <w:rsid w:val="00B31DFF"/>
    <w:rsid w:val="00B35134"/>
    <w:rsid w:val="00B36897"/>
    <w:rsid w:val="00B432AB"/>
    <w:rsid w:val="00B438CE"/>
    <w:rsid w:val="00B45ED6"/>
    <w:rsid w:val="00B45F73"/>
    <w:rsid w:val="00B464BE"/>
    <w:rsid w:val="00B53EB4"/>
    <w:rsid w:val="00B54203"/>
    <w:rsid w:val="00B55EE4"/>
    <w:rsid w:val="00B571BB"/>
    <w:rsid w:val="00B60EAD"/>
    <w:rsid w:val="00B67784"/>
    <w:rsid w:val="00B67EC2"/>
    <w:rsid w:val="00B67F56"/>
    <w:rsid w:val="00B71DB1"/>
    <w:rsid w:val="00B779FD"/>
    <w:rsid w:val="00B831E9"/>
    <w:rsid w:val="00B83857"/>
    <w:rsid w:val="00B84952"/>
    <w:rsid w:val="00B8566F"/>
    <w:rsid w:val="00B92BE7"/>
    <w:rsid w:val="00B92C20"/>
    <w:rsid w:val="00B92D9D"/>
    <w:rsid w:val="00B92E9B"/>
    <w:rsid w:val="00B9456C"/>
    <w:rsid w:val="00B951E3"/>
    <w:rsid w:val="00B95622"/>
    <w:rsid w:val="00BA4D8C"/>
    <w:rsid w:val="00BB03B9"/>
    <w:rsid w:val="00BB19CE"/>
    <w:rsid w:val="00BB2356"/>
    <w:rsid w:val="00BB2AA6"/>
    <w:rsid w:val="00BB662F"/>
    <w:rsid w:val="00BB7472"/>
    <w:rsid w:val="00BB7B7D"/>
    <w:rsid w:val="00BC21AF"/>
    <w:rsid w:val="00BC2F12"/>
    <w:rsid w:val="00BC44FA"/>
    <w:rsid w:val="00BC4B2E"/>
    <w:rsid w:val="00BC667D"/>
    <w:rsid w:val="00BC76CB"/>
    <w:rsid w:val="00BD221F"/>
    <w:rsid w:val="00BD4D8B"/>
    <w:rsid w:val="00BD5A84"/>
    <w:rsid w:val="00BD7F6C"/>
    <w:rsid w:val="00BE665D"/>
    <w:rsid w:val="00BE6E13"/>
    <w:rsid w:val="00BF052C"/>
    <w:rsid w:val="00BF253E"/>
    <w:rsid w:val="00BF4D67"/>
    <w:rsid w:val="00BF4E02"/>
    <w:rsid w:val="00BF5FD1"/>
    <w:rsid w:val="00BF72A0"/>
    <w:rsid w:val="00BF72C5"/>
    <w:rsid w:val="00C06A41"/>
    <w:rsid w:val="00C14A33"/>
    <w:rsid w:val="00C14C5B"/>
    <w:rsid w:val="00C14CC2"/>
    <w:rsid w:val="00C15051"/>
    <w:rsid w:val="00C175DF"/>
    <w:rsid w:val="00C17CD9"/>
    <w:rsid w:val="00C20EAC"/>
    <w:rsid w:val="00C218C7"/>
    <w:rsid w:val="00C21DC1"/>
    <w:rsid w:val="00C22506"/>
    <w:rsid w:val="00C2433C"/>
    <w:rsid w:val="00C254B0"/>
    <w:rsid w:val="00C257FA"/>
    <w:rsid w:val="00C25E36"/>
    <w:rsid w:val="00C266C4"/>
    <w:rsid w:val="00C34B23"/>
    <w:rsid w:val="00C3528B"/>
    <w:rsid w:val="00C37DE1"/>
    <w:rsid w:val="00C428BA"/>
    <w:rsid w:val="00C42918"/>
    <w:rsid w:val="00C429B1"/>
    <w:rsid w:val="00C42BEC"/>
    <w:rsid w:val="00C45E1B"/>
    <w:rsid w:val="00C50354"/>
    <w:rsid w:val="00C5220A"/>
    <w:rsid w:val="00C52731"/>
    <w:rsid w:val="00C53AEA"/>
    <w:rsid w:val="00C55737"/>
    <w:rsid w:val="00C57238"/>
    <w:rsid w:val="00C622F1"/>
    <w:rsid w:val="00C62636"/>
    <w:rsid w:val="00C64451"/>
    <w:rsid w:val="00C70739"/>
    <w:rsid w:val="00C707E5"/>
    <w:rsid w:val="00C70C28"/>
    <w:rsid w:val="00C71E84"/>
    <w:rsid w:val="00C74BEB"/>
    <w:rsid w:val="00C75109"/>
    <w:rsid w:val="00C81093"/>
    <w:rsid w:val="00C81BDC"/>
    <w:rsid w:val="00C83230"/>
    <w:rsid w:val="00C83A1E"/>
    <w:rsid w:val="00C84EF0"/>
    <w:rsid w:val="00C8661B"/>
    <w:rsid w:val="00C918B2"/>
    <w:rsid w:val="00C93302"/>
    <w:rsid w:val="00C953DD"/>
    <w:rsid w:val="00C979AD"/>
    <w:rsid w:val="00CA1906"/>
    <w:rsid w:val="00CA3024"/>
    <w:rsid w:val="00CA4876"/>
    <w:rsid w:val="00CA5289"/>
    <w:rsid w:val="00CA6ACE"/>
    <w:rsid w:val="00CA7A0E"/>
    <w:rsid w:val="00CA7FB4"/>
    <w:rsid w:val="00CB0644"/>
    <w:rsid w:val="00CB190B"/>
    <w:rsid w:val="00CB2180"/>
    <w:rsid w:val="00CB50A2"/>
    <w:rsid w:val="00CB5ED0"/>
    <w:rsid w:val="00CB6996"/>
    <w:rsid w:val="00CC172C"/>
    <w:rsid w:val="00CC1C2A"/>
    <w:rsid w:val="00CC2E66"/>
    <w:rsid w:val="00CC3532"/>
    <w:rsid w:val="00CC3E80"/>
    <w:rsid w:val="00CC48B5"/>
    <w:rsid w:val="00CC5284"/>
    <w:rsid w:val="00CC5C13"/>
    <w:rsid w:val="00CD1D43"/>
    <w:rsid w:val="00CE15B0"/>
    <w:rsid w:val="00CE26C6"/>
    <w:rsid w:val="00CE56D1"/>
    <w:rsid w:val="00CE67D0"/>
    <w:rsid w:val="00CE6986"/>
    <w:rsid w:val="00CE6A1C"/>
    <w:rsid w:val="00CF1F46"/>
    <w:rsid w:val="00CF4383"/>
    <w:rsid w:val="00D04898"/>
    <w:rsid w:val="00D06169"/>
    <w:rsid w:val="00D0664B"/>
    <w:rsid w:val="00D1113D"/>
    <w:rsid w:val="00D11B19"/>
    <w:rsid w:val="00D128AA"/>
    <w:rsid w:val="00D1325E"/>
    <w:rsid w:val="00D1436F"/>
    <w:rsid w:val="00D216A0"/>
    <w:rsid w:val="00D2217B"/>
    <w:rsid w:val="00D23C41"/>
    <w:rsid w:val="00D24226"/>
    <w:rsid w:val="00D25D0D"/>
    <w:rsid w:val="00D26103"/>
    <w:rsid w:val="00D30B27"/>
    <w:rsid w:val="00D30EDD"/>
    <w:rsid w:val="00D317E4"/>
    <w:rsid w:val="00D31A3C"/>
    <w:rsid w:val="00D324B9"/>
    <w:rsid w:val="00D3572F"/>
    <w:rsid w:val="00D359FB"/>
    <w:rsid w:val="00D35F61"/>
    <w:rsid w:val="00D37834"/>
    <w:rsid w:val="00D400C9"/>
    <w:rsid w:val="00D41B60"/>
    <w:rsid w:val="00D50465"/>
    <w:rsid w:val="00D5724C"/>
    <w:rsid w:val="00D57E7C"/>
    <w:rsid w:val="00D616F1"/>
    <w:rsid w:val="00D75C69"/>
    <w:rsid w:val="00D7699E"/>
    <w:rsid w:val="00D80017"/>
    <w:rsid w:val="00D810E7"/>
    <w:rsid w:val="00D82239"/>
    <w:rsid w:val="00D83CAD"/>
    <w:rsid w:val="00D84CD8"/>
    <w:rsid w:val="00D85191"/>
    <w:rsid w:val="00D90899"/>
    <w:rsid w:val="00D90B1C"/>
    <w:rsid w:val="00D910FA"/>
    <w:rsid w:val="00D948FE"/>
    <w:rsid w:val="00D9601D"/>
    <w:rsid w:val="00DA008B"/>
    <w:rsid w:val="00DA3848"/>
    <w:rsid w:val="00DA685F"/>
    <w:rsid w:val="00DA6C33"/>
    <w:rsid w:val="00DA76F2"/>
    <w:rsid w:val="00DA7793"/>
    <w:rsid w:val="00DA7B2E"/>
    <w:rsid w:val="00DA7F4C"/>
    <w:rsid w:val="00DB0233"/>
    <w:rsid w:val="00DB1458"/>
    <w:rsid w:val="00DB3915"/>
    <w:rsid w:val="00DB7B3E"/>
    <w:rsid w:val="00DB7D20"/>
    <w:rsid w:val="00DC0F1B"/>
    <w:rsid w:val="00DC20A6"/>
    <w:rsid w:val="00DC20AB"/>
    <w:rsid w:val="00DC28DF"/>
    <w:rsid w:val="00DC37AB"/>
    <w:rsid w:val="00DC5B80"/>
    <w:rsid w:val="00DD1123"/>
    <w:rsid w:val="00DD3AE0"/>
    <w:rsid w:val="00DD51A6"/>
    <w:rsid w:val="00DD5D40"/>
    <w:rsid w:val="00DE0A36"/>
    <w:rsid w:val="00DE18ED"/>
    <w:rsid w:val="00DE3D5C"/>
    <w:rsid w:val="00DE537F"/>
    <w:rsid w:val="00DE7176"/>
    <w:rsid w:val="00DF04B6"/>
    <w:rsid w:val="00DF19DC"/>
    <w:rsid w:val="00DF36C2"/>
    <w:rsid w:val="00DF6A8B"/>
    <w:rsid w:val="00DF7D55"/>
    <w:rsid w:val="00E02A38"/>
    <w:rsid w:val="00E06D9F"/>
    <w:rsid w:val="00E072A0"/>
    <w:rsid w:val="00E073E1"/>
    <w:rsid w:val="00E07E15"/>
    <w:rsid w:val="00E1010A"/>
    <w:rsid w:val="00E12B3E"/>
    <w:rsid w:val="00E14F05"/>
    <w:rsid w:val="00E226A5"/>
    <w:rsid w:val="00E3016B"/>
    <w:rsid w:val="00E30C2B"/>
    <w:rsid w:val="00E31FBE"/>
    <w:rsid w:val="00E34C7E"/>
    <w:rsid w:val="00E36AB6"/>
    <w:rsid w:val="00E37BC8"/>
    <w:rsid w:val="00E412FB"/>
    <w:rsid w:val="00E421B3"/>
    <w:rsid w:val="00E4341D"/>
    <w:rsid w:val="00E43C5F"/>
    <w:rsid w:val="00E549CB"/>
    <w:rsid w:val="00E5609C"/>
    <w:rsid w:val="00E60B84"/>
    <w:rsid w:val="00E62A73"/>
    <w:rsid w:val="00E661C7"/>
    <w:rsid w:val="00E6645C"/>
    <w:rsid w:val="00E6657C"/>
    <w:rsid w:val="00E67E59"/>
    <w:rsid w:val="00E7035C"/>
    <w:rsid w:val="00E706FC"/>
    <w:rsid w:val="00E73463"/>
    <w:rsid w:val="00E74057"/>
    <w:rsid w:val="00E74B16"/>
    <w:rsid w:val="00E7514C"/>
    <w:rsid w:val="00E76BE3"/>
    <w:rsid w:val="00E80365"/>
    <w:rsid w:val="00E82641"/>
    <w:rsid w:val="00E82CA7"/>
    <w:rsid w:val="00E83790"/>
    <w:rsid w:val="00E87EF6"/>
    <w:rsid w:val="00E92096"/>
    <w:rsid w:val="00E95EE8"/>
    <w:rsid w:val="00EA090C"/>
    <w:rsid w:val="00EA644B"/>
    <w:rsid w:val="00EA6C01"/>
    <w:rsid w:val="00EA6E3A"/>
    <w:rsid w:val="00EA79DD"/>
    <w:rsid w:val="00EB1253"/>
    <w:rsid w:val="00EB2EC4"/>
    <w:rsid w:val="00EB7971"/>
    <w:rsid w:val="00EC38CC"/>
    <w:rsid w:val="00EC4A42"/>
    <w:rsid w:val="00EC5C2A"/>
    <w:rsid w:val="00ED127B"/>
    <w:rsid w:val="00ED168D"/>
    <w:rsid w:val="00ED2A3C"/>
    <w:rsid w:val="00ED4B25"/>
    <w:rsid w:val="00ED4D27"/>
    <w:rsid w:val="00ED4F2B"/>
    <w:rsid w:val="00ED73CC"/>
    <w:rsid w:val="00ED7401"/>
    <w:rsid w:val="00EE5176"/>
    <w:rsid w:val="00EE5563"/>
    <w:rsid w:val="00EE5C07"/>
    <w:rsid w:val="00EE7BA6"/>
    <w:rsid w:val="00EF550D"/>
    <w:rsid w:val="00F012F4"/>
    <w:rsid w:val="00F01C2E"/>
    <w:rsid w:val="00F023DB"/>
    <w:rsid w:val="00F05538"/>
    <w:rsid w:val="00F121CF"/>
    <w:rsid w:val="00F1440B"/>
    <w:rsid w:val="00F21C88"/>
    <w:rsid w:val="00F2278C"/>
    <w:rsid w:val="00F23B5E"/>
    <w:rsid w:val="00F2572D"/>
    <w:rsid w:val="00F259FA"/>
    <w:rsid w:val="00F26295"/>
    <w:rsid w:val="00F278D4"/>
    <w:rsid w:val="00F3074F"/>
    <w:rsid w:val="00F30F33"/>
    <w:rsid w:val="00F37537"/>
    <w:rsid w:val="00F436C5"/>
    <w:rsid w:val="00F4416D"/>
    <w:rsid w:val="00F44792"/>
    <w:rsid w:val="00F50C7D"/>
    <w:rsid w:val="00F50E97"/>
    <w:rsid w:val="00F51E9D"/>
    <w:rsid w:val="00F5240A"/>
    <w:rsid w:val="00F52BE6"/>
    <w:rsid w:val="00F530AE"/>
    <w:rsid w:val="00F53C1E"/>
    <w:rsid w:val="00F53DD8"/>
    <w:rsid w:val="00F54F99"/>
    <w:rsid w:val="00F57939"/>
    <w:rsid w:val="00F57985"/>
    <w:rsid w:val="00F60170"/>
    <w:rsid w:val="00F60802"/>
    <w:rsid w:val="00F64077"/>
    <w:rsid w:val="00F644C5"/>
    <w:rsid w:val="00F67067"/>
    <w:rsid w:val="00F67F91"/>
    <w:rsid w:val="00F70069"/>
    <w:rsid w:val="00F70827"/>
    <w:rsid w:val="00F709A1"/>
    <w:rsid w:val="00F71933"/>
    <w:rsid w:val="00F72CD0"/>
    <w:rsid w:val="00F72FE6"/>
    <w:rsid w:val="00F73BCF"/>
    <w:rsid w:val="00F77AAE"/>
    <w:rsid w:val="00F8535A"/>
    <w:rsid w:val="00F870BF"/>
    <w:rsid w:val="00F910FB"/>
    <w:rsid w:val="00F925F4"/>
    <w:rsid w:val="00F930B9"/>
    <w:rsid w:val="00F936CF"/>
    <w:rsid w:val="00F94349"/>
    <w:rsid w:val="00F94EB3"/>
    <w:rsid w:val="00FA429A"/>
    <w:rsid w:val="00FA5624"/>
    <w:rsid w:val="00FB1849"/>
    <w:rsid w:val="00FB1B8C"/>
    <w:rsid w:val="00FB2423"/>
    <w:rsid w:val="00FB2D51"/>
    <w:rsid w:val="00FB3EF1"/>
    <w:rsid w:val="00FB4776"/>
    <w:rsid w:val="00FB6CB1"/>
    <w:rsid w:val="00FB7029"/>
    <w:rsid w:val="00FC38E7"/>
    <w:rsid w:val="00FC3C6B"/>
    <w:rsid w:val="00FC6C53"/>
    <w:rsid w:val="00FD0E21"/>
    <w:rsid w:val="00FD1ADE"/>
    <w:rsid w:val="00FD5525"/>
    <w:rsid w:val="00FD62A5"/>
    <w:rsid w:val="00FD6C79"/>
    <w:rsid w:val="00FE04C6"/>
    <w:rsid w:val="00FE18E0"/>
    <w:rsid w:val="00FE34D6"/>
    <w:rsid w:val="00FE6921"/>
    <w:rsid w:val="00FE69C8"/>
    <w:rsid w:val="00FE7477"/>
    <w:rsid w:val="00FE77BC"/>
    <w:rsid w:val="00FF14DC"/>
    <w:rsid w:val="00FF1678"/>
    <w:rsid w:val="00FF23D8"/>
    <w:rsid w:val="00FF3564"/>
    <w:rsid w:val="00FF3994"/>
    <w:rsid w:val="00FF55EB"/>
    <w:rsid w:val="00FF7B9A"/>
    <w:rsid w:val="086E5CBE"/>
    <w:rsid w:val="0A0B14CB"/>
    <w:rsid w:val="3717748E"/>
    <w:rsid w:val="58AC39B3"/>
    <w:rsid w:val="6928002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link w:val="21"/>
    <w:qFormat/>
    <w:uiPriority w:val="9"/>
    <w:pPr>
      <w:keepNext/>
      <w:keepLines/>
      <w:spacing w:line="240" w:lineRule="atLeast"/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2"/>
    <w:unhideWhenUsed/>
    <w:qFormat/>
    <w:uiPriority w:val="9"/>
    <w:pPr>
      <w:keepNext/>
      <w:keepLines/>
      <w:spacing w:line="415" w:lineRule="auto"/>
      <w:outlineLvl w:val="1"/>
    </w:pPr>
    <w:rPr>
      <w:rFonts w:asciiTheme="majorHAnsi" w:hAnsiTheme="majorHAnsi" w:eastAsiaTheme="majorEastAsia" w:cstheme="majorBidi"/>
      <w:b/>
      <w:bCs/>
      <w:sz w:val="24"/>
      <w:szCs w:val="32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outlineLvl w:val="2"/>
    </w:pPr>
    <w:rPr>
      <w:b/>
      <w:bCs/>
      <w:szCs w:val="32"/>
    </w:rPr>
  </w:style>
  <w:style w:type="paragraph" w:styleId="5">
    <w:name w:val="heading 9"/>
    <w:basedOn w:val="1"/>
    <w:next w:val="1"/>
    <w:link w:val="28"/>
    <w:semiHidden/>
    <w:unhideWhenUsed/>
    <w:qFormat/>
    <w:uiPriority w:val="9"/>
    <w:pPr>
      <w:keepNext/>
      <w:keepLines/>
      <w:spacing w:before="240" w:after="64" w:line="320" w:lineRule="auto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ocument Map"/>
    <w:basedOn w:val="1"/>
    <w:link w:val="25"/>
    <w:semiHidden/>
    <w:unhideWhenUsed/>
    <w:uiPriority w:val="99"/>
    <w:rPr>
      <w:rFonts w:ascii="宋体"/>
      <w:sz w:val="18"/>
      <w:szCs w:val="18"/>
    </w:rPr>
  </w:style>
  <w:style w:type="paragraph" w:styleId="7">
    <w:name w:val="toc 3"/>
    <w:basedOn w:val="1"/>
    <w:next w:val="1"/>
    <w:unhideWhenUsed/>
    <w:uiPriority w:val="39"/>
    <w:pPr>
      <w:ind w:left="840" w:leftChars="400"/>
    </w:pPr>
  </w:style>
  <w:style w:type="paragraph" w:styleId="8">
    <w:name w:val="Date"/>
    <w:basedOn w:val="1"/>
    <w:next w:val="1"/>
    <w:link w:val="27"/>
    <w:semiHidden/>
    <w:unhideWhenUsed/>
    <w:uiPriority w:val="99"/>
    <w:pPr>
      <w:ind w:left="100" w:leftChars="2500"/>
    </w:pPr>
  </w:style>
  <w:style w:type="paragraph" w:styleId="9">
    <w:name w:val="Balloon Text"/>
    <w:basedOn w:val="1"/>
    <w:link w:val="26"/>
    <w:semiHidden/>
    <w:unhideWhenUsed/>
    <w:uiPriority w:val="99"/>
    <w:rPr>
      <w:sz w:val="18"/>
      <w:szCs w:val="18"/>
    </w:rPr>
  </w:style>
  <w:style w:type="paragraph" w:styleId="10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1">
    <w:name w:val="header"/>
    <w:basedOn w:val="1"/>
    <w:link w:val="18"/>
    <w:semiHidden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toc 2"/>
    <w:basedOn w:val="1"/>
    <w:next w:val="1"/>
    <w:unhideWhenUsed/>
    <w:qFormat/>
    <w:uiPriority w:val="39"/>
    <w:pPr>
      <w:ind w:left="420" w:leftChars="200"/>
    </w:pPr>
  </w:style>
  <w:style w:type="character" w:styleId="16">
    <w:name w:val="Hyperlink"/>
    <w:basedOn w:val="15"/>
    <w:unhideWhenUsed/>
    <w:qFormat/>
    <w:uiPriority w:val="99"/>
    <w:rPr>
      <w:color w:val="0000FF"/>
      <w:u w:val="single"/>
    </w:rPr>
  </w:style>
  <w:style w:type="character" w:customStyle="1" w:styleId="17">
    <w:name w:val="页脚 Char"/>
    <w:basedOn w:val="15"/>
    <w:link w:val="10"/>
    <w:qFormat/>
    <w:uiPriority w:val="99"/>
    <w:rPr>
      <w:rFonts w:ascii="Times New Roman" w:hAnsi="Times New Roman" w:eastAsia="宋体" w:cs="Times New Roman"/>
      <w:sz w:val="18"/>
      <w:szCs w:val="20"/>
    </w:rPr>
  </w:style>
  <w:style w:type="character" w:customStyle="1" w:styleId="18">
    <w:name w:val="页眉 Char"/>
    <w:basedOn w:val="15"/>
    <w:link w:val="11"/>
    <w:semiHidden/>
    <w:qFormat/>
    <w:uiPriority w:val="0"/>
    <w:rPr>
      <w:rFonts w:ascii="Times New Roman" w:hAnsi="Times New Roman" w:eastAsia="宋体" w:cs="Times New Roman"/>
      <w:sz w:val="18"/>
      <w:szCs w:val="20"/>
    </w:rPr>
  </w:style>
  <w:style w:type="paragraph" w:customStyle="1" w:styleId="19">
    <w:name w:val="封面落款"/>
    <w:basedOn w:val="1"/>
    <w:qFormat/>
    <w:uiPriority w:val="0"/>
    <w:pPr>
      <w:spacing w:line="360" w:lineRule="auto"/>
      <w:jc w:val="center"/>
    </w:pPr>
    <w:rPr>
      <w:rFonts w:ascii="Arial" w:hAnsi="Arial" w:eastAsia="黑体"/>
      <w:sz w:val="32"/>
      <w:szCs w:val="24"/>
    </w:rPr>
  </w:style>
  <w:style w:type="paragraph" w:styleId="20">
    <w:name w:val="List Paragraph"/>
    <w:basedOn w:val="1"/>
    <w:qFormat/>
    <w:uiPriority w:val="34"/>
    <w:pPr>
      <w:ind w:firstLine="420" w:firstLineChars="200"/>
    </w:pPr>
  </w:style>
  <w:style w:type="character" w:customStyle="1" w:styleId="21">
    <w:name w:val="标题 1 Char"/>
    <w:basedOn w:val="15"/>
    <w:link w:val="2"/>
    <w:qFormat/>
    <w:uiPriority w:val="9"/>
    <w:rPr>
      <w:rFonts w:ascii="Times New Roman" w:hAnsi="Times New Roman" w:eastAsia="宋体" w:cs="Times New Roman"/>
      <w:b/>
      <w:bCs/>
      <w:kern w:val="44"/>
      <w:sz w:val="28"/>
      <w:szCs w:val="44"/>
    </w:rPr>
  </w:style>
  <w:style w:type="character" w:customStyle="1" w:styleId="22">
    <w:name w:val="标题 2 Char"/>
    <w:basedOn w:val="15"/>
    <w:link w:val="3"/>
    <w:qFormat/>
    <w:uiPriority w:val="9"/>
    <w:rPr>
      <w:rFonts w:asciiTheme="majorHAnsi" w:hAnsiTheme="majorHAnsi" w:eastAsiaTheme="majorEastAsia" w:cstheme="majorBidi"/>
      <w:b/>
      <w:bCs/>
      <w:sz w:val="24"/>
      <w:szCs w:val="32"/>
    </w:rPr>
  </w:style>
  <w:style w:type="character" w:customStyle="1" w:styleId="23">
    <w:name w:val="标题 3 Char"/>
    <w:basedOn w:val="15"/>
    <w:link w:val="4"/>
    <w:qFormat/>
    <w:uiPriority w:val="9"/>
    <w:rPr>
      <w:rFonts w:ascii="Times New Roman" w:hAnsi="Times New Roman" w:eastAsia="宋体" w:cs="Times New Roman"/>
      <w:b/>
      <w:bCs/>
      <w:szCs w:val="32"/>
    </w:rPr>
  </w:style>
  <w:style w:type="paragraph" w:customStyle="1" w:styleId="24">
    <w:name w:val="TOC 标题1"/>
    <w:basedOn w:val="2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  <w:style w:type="character" w:customStyle="1" w:styleId="25">
    <w:name w:val="文档结构图 Char"/>
    <w:basedOn w:val="15"/>
    <w:link w:val="6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character" w:customStyle="1" w:styleId="26">
    <w:name w:val="批注框文本 Char"/>
    <w:basedOn w:val="15"/>
    <w:link w:val="9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27">
    <w:name w:val="日期 Char"/>
    <w:basedOn w:val="15"/>
    <w:link w:val="8"/>
    <w:semiHidden/>
    <w:qFormat/>
    <w:uiPriority w:val="99"/>
    <w:rPr>
      <w:rFonts w:ascii="Times New Roman" w:hAnsi="Times New Roman" w:eastAsia="宋体" w:cs="Times New Roman"/>
      <w:szCs w:val="20"/>
    </w:rPr>
  </w:style>
  <w:style w:type="character" w:customStyle="1" w:styleId="28">
    <w:name w:val="标题 9 Char"/>
    <w:basedOn w:val="15"/>
    <w:link w:val="5"/>
    <w:semiHidden/>
    <w:qFormat/>
    <w:uiPriority w:val="9"/>
    <w:rPr>
      <w:rFonts w:asciiTheme="majorHAnsi" w:hAnsiTheme="majorHAnsi" w:eastAsiaTheme="majorEastAsia" w:cstheme="majorBidi"/>
      <w:szCs w:val="21"/>
    </w:rPr>
  </w:style>
  <w:style w:type="character" w:styleId="29">
    <w:name w:val="Placeholder Text"/>
    <w:basedOn w:val="15"/>
    <w:semiHidden/>
    <w:qFormat/>
    <w:uiPriority w:val="99"/>
    <w:rPr>
      <w:color w:val="80808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4" Type="http://schemas.openxmlformats.org/officeDocument/2006/relationships/fontTable" Target="fontTable.xml"/><Relationship Id="rId83" Type="http://schemas.openxmlformats.org/officeDocument/2006/relationships/customXml" Target="../customXml/item1.xml"/><Relationship Id="rId82" Type="http://schemas.openxmlformats.org/officeDocument/2006/relationships/numbering" Target="numbering.xml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3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2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footer" Target="footer1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header" Target="header1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A1D41B-60C5-4E1A-9078-3952834908A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32</Pages>
  <Words>1744</Words>
  <Characters>1768</Characters>
  <Lines>23</Lines>
  <Paragraphs>6</Paragraphs>
  <TotalTime>0</TotalTime>
  <ScaleCrop>false</ScaleCrop>
  <LinksUpToDate>false</LinksUpToDate>
  <CharactersWithSpaces>1812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2019-12-25T09:04:00Z</dcterms:created>
  <dc:creator>Administrator</dc:creator>
  <cp:lastModifiedBy>杨滨</cp:lastModifiedBy>
  <dcterms:modified xsi:type="dcterms:W3CDTF">2023-08-02T02:11:55Z</dcterms:modified>
  <cp:revision>1233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37451FDC55E34BD3B0CEDCAA76FA1150_13</vt:lpwstr>
  </property>
</Properties>
</file>